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449E" w14:textId="1394C09B" w:rsidR="00B96DDF" w:rsidRPr="00426A6A" w:rsidRDefault="00B96DDF" w:rsidP="002217F7">
      <w:pPr>
        <w:rPr>
          <w:rFonts w:cs="Arial"/>
          <w:b/>
          <w:bCs/>
          <w:u w:val="single"/>
        </w:rPr>
      </w:pPr>
    </w:p>
    <w:p w14:paraId="576E6B23" w14:textId="77777777" w:rsidR="0091034E" w:rsidRPr="00C66534" w:rsidRDefault="004E6897" w:rsidP="006749D0">
      <w:pPr>
        <w:jc w:val="center"/>
        <w:rPr>
          <w:rFonts w:cs="Arial"/>
          <w:sz w:val="52"/>
          <w:szCs w:val="52"/>
        </w:rPr>
      </w:pPr>
      <w:r w:rsidRPr="00C66534">
        <w:rPr>
          <w:rFonts w:cs="Arial"/>
          <w:sz w:val="52"/>
          <w:szCs w:val="52"/>
        </w:rPr>
        <w:t xml:space="preserve">Review of the </w:t>
      </w:r>
      <w:r w:rsidRPr="00C66534">
        <w:rPr>
          <w:rFonts w:cs="Arial"/>
          <w:b/>
          <w:bCs/>
          <w:sz w:val="52"/>
          <w:szCs w:val="52"/>
        </w:rPr>
        <w:t>matrix</w:t>
      </w:r>
      <w:r w:rsidRPr="00C66534">
        <w:rPr>
          <w:rFonts w:cs="Arial"/>
          <w:sz w:val="52"/>
          <w:szCs w:val="52"/>
        </w:rPr>
        <w:t xml:space="preserve"> Standard </w:t>
      </w:r>
    </w:p>
    <w:p w14:paraId="2106E7F9" w14:textId="77777777" w:rsidR="004E6897" w:rsidRPr="00C66534" w:rsidRDefault="004E6897" w:rsidP="006749D0">
      <w:pPr>
        <w:jc w:val="center"/>
        <w:rPr>
          <w:rFonts w:cs="Arial"/>
          <w:sz w:val="52"/>
          <w:szCs w:val="52"/>
        </w:rPr>
      </w:pPr>
    </w:p>
    <w:p w14:paraId="4D44C4A3" w14:textId="77777777" w:rsidR="004E6897" w:rsidRPr="00C66534" w:rsidRDefault="004E6897" w:rsidP="006749D0">
      <w:pPr>
        <w:jc w:val="center"/>
        <w:rPr>
          <w:rFonts w:cs="Arial"/>
          <w:sz w:val="52"/>
          <w:szCs w:val="52"/>
        </w:rPr>
      </w:pPr>
    </w:p>
    <w:p w14:paraId="1AF2A5AA" w14:textId="77777777" w:rsidR="004E6897" w:rsidRPr="00C66534" w:rsidRDefault="004E6897" w:rsidP="006749D0">
      <w:pPr>
        <w:jc w:val="center"/>
        <w:rPr>
          <w:rFonts w:cs="Arial"/>
          <w:sz w:val="52"/>
          <w:szCs w:val="52"/>
        </w:rPr>
      </w:pPr>
      <w:r w:rsidRPr="00C66534">
        <w:rPr>
          <w:rFonts w:cs="Arial"/>
          <w:sz w:val="52"/>
          <w:szCs w:val="52"/>
        </w:rPr>
        <w:t xml:space="preserve">2023 </w:t>
      </w:r>
    </w:p>
    <w:p w14:paraId="0CED9355" w14:textId="77777777" w:rsidR="004E6897" w:rsidRPr="00C66534" w:rsidRDefault="004E6897" w:rsidP="006749D0">
      <w:pPr>
        <w:jc w:val="center"/>
        <w:rPr>
          <w:rFonts w:cs="Arial"/>
          <w:sz w:val="52"/>
          <w:szCs w:val="52"/>
        </w:rPr>
      </w:pPr>
    </w:p>
    <w:p w14:paraId="302941ED" w14:textId="77777777" w:rsidR="004E6897" w:rsidRPr="00C66534" w:rsidRDefault="004E6897" w:rsidP="006749D0">
      <w:pPr>
        <w:jc w:val="center"/>
        <w:rPr>
          <w:rFonts w:cs="Arial"/>
          <w:sz w:val="52"/>
          <w:szCs w:val="52"/>
        </w:rPr>
      </w:pPr>
    </w:p>
    <w:p w14:paraId="11C91311" w14:textId="77777777" w:rsidR="00194E8E" w:rsidRDefault="00C66534" w:rsidP="006749D0">
      <w:pPr>
        <w:jc w:val="center"/>
        <w:rPr>
          <w:rFonts w:cs="Arial"/>
          <w:sz w:val="52"/>
          <w:szCs w:val="52"/>
        </w:rPr>
      </w:pPr>
      <w:r w:rsidRPr="00C66534">
        <w:rPr>
          <w:rFonts w:cs="Arial"/>
          <w:sz w:val="52"/>
          <w:szCs w:val="52"/>
        </w:rPr>
        <w:t>Carried out by the Growth Company on behalf of the Department For Education</w:t>
      </w:r>
    </w:p>
    <w:p w14:paraId="48753769" w14:textId="77777777" w:rsidR="00194E8E" w:rsidRDefault="00194E8E" w:rsidP="006749D0">
      <w:pPr>
        <w:jc w:val="center"/>
        <w:rPr>
          <w:rFonts w:cs="Arial"/>
          <w:sz w:val="52"/>
          <w:szCs w:val="52"/>
        </w:rPr>
      </w:pPr>
    </w:p>
    <w:p w14:paraId="21D0D011" w14:textId="77777777" w:rsidR="007B1328" w:rsidRDefault="007B1328" w:rsidP="006749D0">
      <w:pPr>
        <w:jc w:val="center"/>
        <w:rPr>
          <w:rFonts w:cs="Arial"/>
          <w:sz w:val="52"/>
          <w:szCs w:val="52"/>
        </w:rPr>
      </w:pPr>
    </w:p>
    <w:p w14:paraId="1DEE18E8" w14:textId="77777777" w:rsidR="007B1328" w:rsidRDefault="0037101A" w:rsidP="006749D0">
      <w:pPr>
        <w:jc w:val="center"/>
        <w:rPr>
          <w:noProof/>
        </w:rPr>
      </w:pPr>
      <w:r>
        <w:rPr>
          <w:rFonts w:eastAsia="Arial" w:cs="Arial"/>
          <w:noProof/>
          <w:color w:val="1F3864"/>
          <w:sz w:val="28"/>
          <w:szCs w:val="28"/>
        </w:rPr>
        <w:drawing>
          <wp:inline distT="0" distB="0" distL="0" distR="0" wp14:anchorId="40310957" wp14:editId="1B347E6A">
            <wp:extent cx="2390775" cy="1226302"/>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437523" cy="1250280"/>
                    </a:xfrm>
                    <a:prstGeom prst="rect">
                      <a:avLst/>
                    </a:prstGeom>
                  </pic:spPr>
                </pic:pic>
              </a:graphicData>
            </a:graphic>
          </wp:inline>
        </w:drawing>
      </w:r>
    </w:p>
    <w:p w14:paraId="3744F0F1" w14:textId="77777777" w:rsidR="007B1328" w:rsidRDefault="007B1328" w:rsidP="006749D0">
      <w:pPr>
        <w:jc w:val="center"/>
        <w:rPr>
          <w:noProof/>
        </w:rPr>
      </w:pPr>
    </w:p>
    <w:p w14:paraId="19E8C420" w14:textId="77777777" w:rsidR="007B1328" w:rsidRDefault="007B1328" w:rsidP="006749D0">
      <w:pPr>
        <w:jc w:val="center"/>
        <w:rPr>
          <w:noProof/>
        </w:rPr>
      </w:pPr>
    </w:p>
    <w:p w14:paraId="788809B0" w14:textId="6ADC20F2" w:rsidR="00C66534" w:rsidRPr="00C66534" w:rsidRDefault="00225A1E" w:rsidP="006749D0">
      <w:pPr>
        <w:jc w:val="center"/>
        <w:rPr>
          <w:rFonts w:cs="Arial"/>
          <w:sz w:val="52"/>
          <w:szCs w:val="52"/>
        </w:rPr>
        <w:sectPr w:rsidR="00C66534" w:rsidRPr="00C66534" w:rsidSect="001A6FC1">
          <w:footerReference w:type="default" r:id="rId12"/>
          <w:pgSz w:w="11900" w:h="16840" w:code="9"/>
          <w:pgMar w:top="1134" w:right="1134" w:bottom="1134" w:left="1134" w:header="709" w:footer="709" w:gutter="0"/>
          <w:cols w:space="708"/>
          <w:titlePg/>
          <w:docGrid w:linePitch="360"/>
        </w:sectPr>
      </w:pPr>
      <w:r>
        <w:rPr>
          <w:noProof/>
        </w:rPr>
        <w:drawing>
          <wp:inline distT="0" distB="0" distL="0" distR="0" wp14:anchorId="67DE06DE" wp14:editId="47E2778F">
            <wp:extent cx="2248851" cy="962025"/>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7944" cy="1012971"/>
                    </a:xfrm>
                    <a:prstGeom prst="rect">
                      <a:avLst/>
                    </a:prstGeom>
                  </pic:spPr>
                </pic:pic>
              </a:graphicData>
            </a:graphic>
          </wp:inline>
        </w:drawing>
      </w:r>
      <w:r w:rsidR="00C66534" w:rsidRPr="00C66534">
        <w:rPr>
          <w:rFonts w:cs="Arial"/>
          <w:sz w:val="52"/>
          <w:szCs w:val="52"/>
        </w:rPr>
        <w:t xml:space="preserve"> </w:t>
      </w:r>
    </w:p>
    <w:sdt>
      <w:sdtPr>
        <w:rPr>
          <w:rFonts w:ascii="Arial" w:eastAsiaTheme="minorHAnsi" w:hAnsi="Arial" w:cstheme="minorBidi"/>
          <w:bCs w:val="0"/>
          <w:color w:val="auto"/>
          <w:sz w:val="22"/>
          <w:szCs w:val="24"/>
          <w:shd w:val="clear" w:color="auto" w:fill="E6E6E6"/>
        </w:rPr>
        <w:id w:val="-277026786"/>
        <w:docPartObj>
          <w:docPartGallery w:val="Table of Contents"/>
          <w:docPartUnique/>
        </w:docPartObj>
      </w:sdtPr>
      <w:sdtEndPr>
        <w:rPr>
          <w:b/>
        </w:rPr>
      </w:sdtEndPr>
      <w:sdtContent>
        <w:p w14:paraId="3AD03E0A" w14:textId="5CEFD4AE" w:rsidR="00A93ABB" w:rsidRPr="00EA769C" w:rsidRDefault="00A93ABB" w:rsidP="000B550F">
          <w:pPr>
            <w:pStyle w:val="TOCHeading"/>
            <w:spacing w:after="240"/>
          </w:pPr>
          <w:r w:rsidRPr="00EA769C">
            <w:t>Contents</w:t>
          </w:r>
        </w:p>
        <w:p w14:paraId="7F2F467A" w14:textId="18A4579D" w:rsidR="00DC07D9" w:rsidRDefault="00350757">
          <w:pPr>
            <w:pStyle w:val="TOC1"/>
            <w:rPr>
              <w:rFonts w:asciiTheme="minorHAnsi" w:eastAsiaTheme="minorEastAsia" w:hAnsiTheme="minorHAnsi"/>
              <w:noProof/>
              <w:szCs w:val="22"/>
              <w:lang w:eastAsia="en-GB"/>
            </w:rPr>
          </w:pPr>
          <w:r>
            <w:rPr>
              <w:color w:val="2B579A"/>
              <w:shd w:val="clear" w:color="auto" w:fill="E6E6E6"/>
            </w:rPr>
            <w:fldChar w:fldCharType="begin"/>
          </w:r>
          <w:r>
            <w:instrText xml:space="preserve"> TOC \o "1-1" \h \z \u </w:instrText>
          </w:r>
          <w:r>
            <w:rPr>
              <w:color w:val="2B579A"/>
              <w:shd w:val="clear" w:color="auto" w:fill="E6E6E6"/>
            </w:rPr>
            <w:fldChar w:fldCharType="separate"/>
          </w:r>
          <w:hyperlink w:anchor="_Toc129688493" w:history="1">
            <w:r w:rsidR="00DC07D9" w:rsidRPr="00B22875">
              <w:rPr>
                <w:rStyle w:val="Hyperlink"/>
                <w:noProof/>
              </w:rPr>
              <w:t>Foreword</w:t>
            </w:r>
            <w:r w:rsidR="00DC07D9">
              <w:rPr>
                <w:noProof/>
                <w:webHidden/>
              </w:rPr>
              <w:tab/>
            </w:r>
            <w:r w:rsidR="00DC07D9">
              <w:rPr>
                <w:noProof/>
                <w:webHidden/>
              </w:rPr>
              <w:fldChar w:fldCharType="begin"/>
            </w:r>
            <w:r w:rsidR="00DC07D9">
              <w:rPr>
                <w:noProof/>
                <w:webHidden/>
              </w:rPr>
              <w:instrText xml:space="preserve"> PAGEREF _Toc129688493 \h </w:instrText>
            </w:r>
            <w:r w:rsidR="00DC07D9">
              <w:rPr>
                <w:noProof/>
                <w:webHidden/>
              </w:rPr>
            </w:r>
            <w:r w:rsidR="00DC07D9">
              <w:rPr>
                <w:noProof/>
                <w:webHidden/>
              </w:rPr>
              <w:fldChar w:fldCharType="separate"/>
            </w:r>
            <w:r w:rsidR="00DC07D9">
              <w:rPr>
                <w:noProof/>
                <w:webHidden/>
              </w:rPr>
              <w:t>3</w:t>
            </w:r>
            <w:r w:rsidR="00DC07D9">
              <w:rPr>
                <w:noProof/>
                <w:webHidden/>
              </w:rPr>
              <w:fldChar w:fldCharType="end"/>
            </w:r>
          </w:hyperlink>
        </w:p>
        <w:p w14:paraId="53AFC0B6" w14:textId="704C6B9F" w:rsidR="00DC07D9" w:rsidRDefault="009F0768">
          <w:pPr>
            <w:pStyle w:val="TOC1"/>
            <w:rPr>
              <w:rFonts w:asciiTheme="minorHAnsi" w:eastAsiaTheme="minorEastAsia" w:hAnsiTheme="minorHAnsi"/>
              <w:noProof/>
              <w:szCs w:val="22"/>
              <w:lang w:eastAsia="en-GB"/>
            </w:rPr>
          </w:pPr>
          <w:hyperlink w:anchor="_Toc129688494" w:history="1">
            <w:r w:rsidR="00DC07D9" w:rsidRPr="00B22875">
              <w:rPr>
                <w:rStyle w:val="Hyperlink"/>
                <w:noProof/>
              </w:rPr>
              <w:t>Executive Summary</w:t>
            </w:r>
            <w:r w:rsidR="00DC07D9">
              <w:rPr>
                <w:noProof/>
                <w:webHidden/>
              </w:rPr>
              <w:tab/>
            </w:r>
            <w:r w:rsidR="00DC07D9">
              <w:rPr>
                <w:noProof/>
                <w:webHidden/>
              </w:rPr>
              <w:fldChar w:fldCharType="begin"/>
            </w:r>
            <w:r w:rsidR="00DC07D9">
              <w:rPr>
                <w:noProof/>
                <w:webHidden/>
              </w:rPr>
              <w:instrText xml:space="preserve"> PAGEREF _Toc129688494 \h </w:instrText>
            </w:r>
            <w:r w:rsidR="00DC07D9">
              <w:rPr>
                <w:noProof/>
                <w:webHidden/>
              </w:rPr>
            </w:r>
            <w:r w:rsidR="00DC07D9">
              <w:rPr>
                <w:noProof/>
                <w:webHidden/>
              </w:rPr>
              <w:fldChar w:fldCharType="separate"/>
            </w:r>
            <w:r w:rsidR="00DC07D9">
              <w:rPr>
                <w:noProof/>
                <w:webHidden/>
              </w:rPr>
              <w:t>4</w:t>
            </w:r>
            <w:r w:rsidR="00DC07D9">
              <w:rPr>
                <w:noProof/>
                <w:webHidden/>
              </w:rPr>
              <w:fldChar w:fldCharType="end"/>
            </w:r>
          </w:hyperlink>
        </w:p>
        <w:p w14:paraId="1880F2D7" w14:textId="5B0BBDAA" w:rsidR="00DC07D9" w:rsidRDefault="009F0768">
          <w:pPr>
            <w:pStyle w:val="TOC1"/>
            <w:rPr>
              <w:rFonts w:asciiTheme="minorHAnsi" w:eastAsiaTheme="minorEastAsia" w:hAnsiTheme="minorHAnsi"/>
              <w:noProof/>
              <w:szCs w:val="22"/>
              <w:lang w:eastAsia="en-GB"/>
            </w:rPr>
          </w:pPr>
          <w:hyperlink w:anchor="_Toc129688495" w:history="1">
            <w:r w:rsidR="00DC07D9" w:rsidRPr="00B22875">
              <w:rPr>
                <w:rStyle w:val="Hyperlink"/>
                <w:noProof/>
              </w:rPr>
              <w:t>Background</w:t>
            </w:r>
            <w:r w:rsidR="00DC07D9">
              <w:rPr>
                <w:noProof/>
                <w:webHidden/>
              </w:rPr>
              <w:tab/>
            </w:r>
            <w:r w:rsidR="00DC07D9">
              <w:rPr>
                <w:noProof/>
                <w:webHidden/>
              </w:rPr>
              <w:fldChar w:fldCharType="begin"/>
            </w:r>
            <w:r w:rsidR="00DC07D9">
              <w:rPr>
                <w:noProof/>
                <w:webHidden/>
              </w:rPr>
              <w:instrText xml:space="preserve"> PAGEREF _Toc129688495 \h </w:instrText>
            </w:r>
            <w:r w:rsidR="00DC07D9">
              <w:rPr>
                <w:noProof/>
                <w:webHidden/>
              </w:rPr>
            </w:r>
            <w:r w:rsidR="00DC07D9">
              <w:rPr>
                <w:noProof/>
                <w:webHidden/>
              </w:rPr>
              <w:fldChar w:fldCharType="separate"/>
            </w:r>
            <w:r w:rsidR="00DC07D9">
              <w:rPr>
                <w:noProof/>
                <w:webHidden/>
              </w:rPr>
              <w:t>7</w:t>
            </w:r>
            <w:r w:rsidR="00DC07D9">
              <w:rPr>
                <w:noProof/>
                <w:webHidden/>
              </w:rPr>
              <w:fldChar w:fldCharType="end"/>
            </w:r>
          </w:hyperlink>
        </w:p>
        <w:p w14:paraId="25F0EB16" w14:textId="55F67F27" w:rsidR="00DC07D9" w:rsidRDefault="009F0768">
          <w:pPr>
            <w:pStyle w:val="TOC1"/>
            <w:rPr>
              <w:rFonts w:asciiTheme="minorHAnsi" w:eastAsiaTheme="minorEastAsia" w:hAnsiTheme="minorHAnsi"/>
              <w:noProof/>
              <w:szCs w:val="22"/>
              <w:lang w:eastAsia="en-GB"/>
            </w:rPr>
          </w:pPr>
          <w:hyperlink w:anchor="_Toc129688496" w:history="1">
            <w:r w:rsidR="00DC07D9" w:rsidRPr="00B22875">
              <w:rPr>
                <w:rStyle w:val="Hyperlink"/>
                <w:noProof/>
              </w:rPr>
              <w:t>Aim</w:t>
            </w:r>
            <w:r w:rsidR="00DC07D9">
              <w:rPr>
                <w:noProof/>
                <w:webHidden/>
              </w:rPr>
              <w:tab/>
            </w:r>
            <w:r w:rsidR="00DC07D9">
              <w:rPr>
                <w:noProof/>
                <w:webHidden/>
              </w:rPr>
              <w:fldChar w:fldCharType="begin"/>
            </w:r>
            <w:r w:rsidR="00DC07D9">
              <w:rPr>
                <w:noProof/>
                <w:webHidden/>
              </w:rPr>
              <w:instrText xml:space="preserve"> PAGEREF _Toc129688496 \h </w:instrText>
            </w:r>
            <w:r w:rsidR="00DC07D9">
              <w:rPr>
                <w:noProof/>
                <w:webHidden/>
              </w:rPr>
            </w:r>
            <w:r w:rsidR="00DC07D9">
              <w:rPr>
                <w:noProof/>
                <w:webHidden/>
              </w:rPr>
              <w:fldChar w:fldCharType="separate"/>
            </w:r>
            <w:r w:rsidR="00DC07D9">
              <w:rPr>
                <w:noProof/>
                <w:webHidden/>
              </w:rPr>
              <w:t>7</w:t>
            </w:r>
            <w:r w:rsidR="00DC07D9">
              <w:rPr>
                <w:noProof/>
                <w:webHidden/>
              </w:rPr>
              <w:fldChar w:fldCharType="end"/>
            </w:r>
          </w:hyperlink>
        </w:p>
        <w:p w14:paraId="267781B0" w14:textId="74A16799" w:rsidR="00DC07D9" w:rsidRDefault="009F0768">
          <w:pPr>
            <w:pStyle w:val="TOC1"/>
            <w:rPr>
              <w:rFonts w:asciiTheme="minorHAnsi" w:eastAsiaTheme="minorEastAsia" w:hAnsiTheme="minorHAnsi"/>
              <w:noProof/>
              <w:szCs w:val="22"/>
              <w:lang w:eastAsia="en-GB"/>
            </w:rPr>
          </w:pPr>
          <w:hyperlink w:anchor="_Toc129688497" w:history="1">
            <w:r w:rsidR="00DC07D9" w:rsidRPr="00B22875">
              <w:rPr>
                <w:rStyle w:val="Hyperlink"/>
                <w:noProof/>
              </w:rPr>
              <w:t>Objectives</w:t>
            </w:r>
            <w:r w:rsidR="00DC07D9">
              <w:rPr>
                <w:noProof/>
                <w:webHidden/>
              </w:rPr>
              <w:tab/>
            </w:r>
            <w:r w:rsidR="00DC07D9">
              <w:rPr>
                <w:noProof/>
                <w:webHidden/>
              </w:rPr>
              <w:fldChar w:fldCharType="begin"/>
            </w:r>
            <w:r w:rsidR="00DC07D9">
              <w:rPr>
                <w:noProof/>
                <w:webHidden/>
              </w:rPr>
              <w:instrText xml:space="preserve"> PAGEREF _Toc129688497 \h </w:instrText>
            </w:r>
            <w:r w:rsidR="00DC07D9">
              <w:rPr>
                <w:noProof/>
                <w:webHidden/>
              </w:rPr>
            </w:r>
            <w:r w:rsidR="00DC07D9">
              <w:rPr>
                <w:noProof/>
                <w:webHidden/>
              </w:rPr>
              <w:fldChar w:fldCharType="separate"/>
            </w:r>
            <w:r w:rsidR="00DC07D9">
              <w:rPr>
                <w:noProof/>
                <w:webHidden/>
              </w:rPr>
              <w:t>7</w:t>
            </w:r>
            <w:r w:rsidR="00DC07D9">
              <w:rPr>
                <w:noProof/>
                <w:webHidden/>
              </w:rPr>
              <w:fldChar w:fldCharType="end"/>
            </w:r>
          </w:hyperlink>
        </w:p>
        <w:p w14:paraId="51B6F67B" w14:textId="627859C3" w:rsidR="00DC07D9" w:rsidRDefault="009F0768">
          <w:pPr>
            <w:pStyle w:val="TOC1"/>
            <w:rPr>
              <w:rFonts w:asciiTheme="minorHAnsi" w:eastAsiaTheme="minorEastAsia" w:hAnsiTheme="minorHAnsi"/>
              <w:noProof/>
              <w:szCs w:val="22"/>
              <w:lang w:eastAsia="en-GB"/>
            </w:rPr>
          </w:pPr>
          <w:hyperlink w:anchor="_Toc129688498" w:history="1">
            <w:r w:rsidR="00DC07D9" w:rsidRPr="00B22875">
              <w:rPr>
                <w:rStyle w:val="Hyperlink"/>
                <w:noProof/>
              </w:rPr>
              <w:t>Methodology</w:t>
            </w:r>
            <w:r w:rsidR="00DC07D9">
              <w:rPr>
                <w:noProof/>
                <w:webHidden/>
              </w:rPr>
              <w:tab/>
            </w:r>
            <w:r w:rsidR="00DC07D9">
              <w:rPr>
                <w:noProof/>
                <w:webHidden/>
              </w:rPr>
              <w:fldChar w:fldCharType="begin"/>
            </w:r>
            <w:r w:rsidR="00DC07D9">
              <w:rPr>
                <w:noProof/>
                <w:webHidden/>
              </w:rPr>
              <w:instrText xml:space="preserve"> PAGEREF _Toc129688498 \h </w:instrText>
            </w:r>
            <w:r w:rsidR="00DC07D9">
              <w:rPr>
                <w:noProof/>
                <w:webHidden/>
              </w:rPr>
            </w:r>
            <w:r w:rsidR="00DC07D9">
              <w:rPr>
                <w:noProof/>
                <w:webHidden/>
              </w:rPr>
              <w:fldChar w:fldCharType="separate"/>
            </w:r>
            <w:r w:rsidR="00DC07D9">
              <w:rPr>
                <w:noProof/>
                <w:webHidden/>
              </w:rPr>
              <w:t>8</w:t>
            </w:r>
            <w:r w:rsidR="00DC07D9">
              <w:rPr>
                <w:noProof/>
                <w:webHidden/>
              </w:rPr>
              <w:fldChar w:fldCharType="end"/>
            </w:r>
          </w:hyperlink>
        </w:p>
        <w:p w14:paraId="731AB9B4" w14:textId="4D64A0CF" w:rsidR="00DC07D9" w:rsidRDefault="009F0768">
          <w:pPr>
            <w:pStyle w:val="TOC1"/>
            <w:rPr>
              <w:rFonts w:asciiTheme="minorHAnsi" w:eastAsiaTheme="minorEastAsia" w:hAnsiTheme="minorHAnsi"/>
              <w:noProof/>
              <w:szCs w:val="22"/>
              <w:lang w:eastAsia="en-GB"/>
            </w:rPr>
          </w:pPr>
          <w:hyperlink w:anchor="_Toc129688499" w:history="1">
            <w:r w:rsidR="00DC07D9" w:rsidRPr="00B22875">
              <w:rPr>
                <w:rStyle w:val="Hyperlink"/>
                <w:noProof/>
              </w:rPr>
              <w:t>Governance</w:t>
            </w:r>
            <w:r w:rsidR="00DC07D9">
              <w:rPr>
                <w:noProof/>
                <w:webHidden/>
              </w:rPr>
              <w:tab/>
            </w:r>
            <w:r w:rsidR="00DC07D9">
              <w:rPr>
                <w:noProof/>
                <w:webHidden/>
              </w:rPr>
              <w:fldChar w:fldCharType="begin"/>
            </w:r>
            <w:r w:rsidR="00DC07D9">
              <w:rPr>
                <w:noProof/>
                <w:webHidden/>
              </w:rPr>
              <w:instrText xml:space="preserve"> PAGEREF _Toc129688499 \h </w:instrText>
            </w:r>
            <w:r w:rsidR="00DC07D9">
              <w:rPr>
                <w:noProof/>
                <w:webHidden/>
              </w:rPr>
            </w:r>
            <w:r w:rsidR="00DC07D9">
              <w:rPr>
                <w:noProof/>
                <w:webHidden/>
              </w:rPr>
              <w:fldChar w:fldCharType="separate"/>
            </w:r>
            <w:r w:rsidR="00DC07D9">
              <w:rPr>
                <w:noProof/>
                <w:webHidden/>
              </w:rPr>
              <w:t>8</w:t>
            </w:r>
            <w:r w:rsidR="00DC07D9">
              <w:rPr>
                <w:noProof/>
                <w:webHidden/>
              </w:rPr>
              <w:fldChar w:fldCharType="end"/>
            </w:r>
          </w:hyperlink>
        </w:p>
        <w:p w14:paraId="6353133E" w14:textId="6A933BCE" w:rsidR="00DC07D9" w:rsidRDefault="009F0768">
          <w:pPr>
            <w:pStyle w:val="TOC1"/>
            <w:rPr>
              <w:rFonts w:asciiTheme="minorHAnsi" w:eastAsiaTheme="minorEastAsia" w:hAnsiTheme="minorHAnsi"/>
              <w:noProof/>
              <w:szCs w:val="22"/>
              <w:lang w:eastAsia="en-GB"/>
            </w:rPr>
          </w:pPr>
          <w:hyperlink w:anchor="_Toc129688500" w:history="1">
            <w:r w:rsidR="00DC07D9" w:rsidRPr="00B22875">
              <w:rPr>
                <w:rStyle w:val="Hyperlink"/>
                <w:noProof/>
              </w:rPr>
              <w:t>SWOT Analysis</w:t>
            </w:r>
            <w:r w:rsidR="00DC07D9">
              <w:rPr>
                <w:noProof/>
                <w:webHidden/>
              </w:rPr>
              <w:tab/>
            </w:r>
            <w:r w:rsidR="00DC07D9">
              <w:rPr>
                <w:noProof/>
                <w:webHidden/>
              </w:rPr>
              <w:fldChar w:fldCharType="begin"/>
            </w:r>
            <w:r w:rsidR="00DC07D9">
              <w:rPr>
                <w:noProof/>
                <w:webHidden/>
              </w:rPr>
              <w:instrText xml:space="preserve"> PAGEREF _Toc129688500 \h </w:instrText>
            </w:r>
            <w:r w:rsidR="00DC07D9">
              <w:rPr>
                <w:noProof/>
                <w:webHidden/>
              </w:rPr>
            </w:r>
            <w:r w:rsidR="00DC07D9">
              <w:rPr>
                <w:noProof/>
                <w:webHidden/>
              </w:rPr>
              <w:fldChar w:fldCharType="separate"/>
            </w:r>
            <w:r w:rsidR="00DC07D9">
              <w:rPr>
                <w:noProof/>
                <w:webHidden/>
              </w:rPr>
              <w:t>10</w:t>
            </w:r>
            <w:r w:rsidR="00DC07D9">
              <w:rPr>
                <w:noProof/>
                <w:webHidden/>
              </w:rPr>
              <w:fldChar w:fldCharType="end"/>
            </w:r>
          </w:hyperlink>
        </w:p>
        <w:p w14:paraId="05161E40" w14:textId="5DC2DB09" w:rsidR="00DC07D9" w:rsidRDefault="009F0768">
          <w:pPr>
            <w:pStyle w:val="TOC1"/>
            <w:rPr>
              <w:rFonts w:asciiTheme="minorHAnsi" w:eastAsiaTheme="minorEastAsia" w:hAnsiTheme="minorHAnsi"/>
              <w:noProof/>
              <w:szCs w:val="22"/>
              <w:lang w:eastAsia="en-GB"/>
            </w:rPr>
          </w:pPr>
          <w:hyperlink w:anchor="_Toc129688501" w:history="1">
            <w:r w:rsidR="00DC07D9" w:rsidRPr="00B22875">
              <w:rPr>
                <w:rStyle w:val="Hyperlink"/>
                <w:noProof/>
              </w:rPr>
              <w:t>Key Stakeholder Engagement</w:t>
            </w:r>
            <w:r w:rsidR="00DC07D9">
              <w:rPr>
                <w:noProof/>
                <w:webHidden/>
              </w:rPr>
              <w:tab/>
            </w:r>
            <w:r w:rsidR="00DC07D9">
              <w:rPr>
                <w:noProof/>
                <w:webHidden/>
              </w:rPr>
              <w:fldChar w:fldCharType="begin"/>
            </w:r>
            <w:r w:rsidR="00DC07D9">
              <w:rPr>
                <w:noProof/>
                <w:webHidden/>
              </w:rPr>
              <w:instrText xml:space="preserve"> PAGEREF _Toc129688501 \h </w:instrText>
            </w:r>
            <w:r w:rsidR="00DC07D9">
              <w:rPr>
                <w:noProof/>
                <w:webHidden/>
              </w:rPr>
            </w:r>
            <w:r w:rsidR="00DC07D9">
              <w:rPr>
                <w:noProof/>
                <w:webHidden/>
              </w:rPr>
              <w:fldChar w:fldCharType="separate"/>
            </w:r>
            <w:r w:rsidR="00DC07D9">
              <w:rPr>
                <w:noProof/>
                <w:webHidden/>
              </w:rPr>
              <w:t>13</w:t>
            </w:r>
            <w:r w:rsidR="00DC07D9">
              <w:rPr>
                <w:noProof/>
                <w:webHidden/>
              </w:rPr>
              <w:fldChar w:fldCharType="end"/>
            </w:r>
          </w:hyperlink>
        </w:p>
        <w:p w14:paraId="3C931FDE" w14:textId="693940B0" w:rsidR="00DC07D9" w:rsidRDefault="009F0768">
          <w:pPr>
            <w:pStyle w:val="TOC1"/>
            <w:rPr>
              <w:rFonts w:asciiTheme="minorHAnsi" w:eastAsiaTheme="minorEastAsia" w:hAnsiTheme="minorHAnsi"/>
              <w:noProof/>
              <w:szCs w:val="22"/>
              <w:lang w:eastAsia="en-GB"/>
            </w:rPr>
          </w:pPr>
          <w:hyperlink w:anchor="_Toc129688502" w:history="1">
            <w:r w:rsidR="00DC07D9" w:rsidRPr="00B22875">
              <w:rPr>
                <w:rStyle w:val="Hyperlink"/>
                <w:noProof/>
              </w:rPr>
              <w:t>Literature Review</w:t>
            </w:r>
            <w:r w:rsidR="00DC07D9">
              <w:rPr>
                <w:noProof/>
                <w:webHidden/>
              </w:rPr>
              <w:tab/>
            </w:r>
            <w:r w:rsidR="00DC07D9">
              <w:rPr>
                <w:noProof/>
                <w:webHidden/>
              </w:rPr>
              <w:fldChar w:fldCharType="begin"/>
            </w:r>
            <w:r w:rsidR="00DC07D9">
              <w:rPr>
                <w:noProof/>
                <w:webHidden/>
              </w:rPr>
              <w:instrText xml:space="preserve"> PAGEREF _Toc129688502 \h </w:instrText>
            </w:r>
            <w:r w:rsidR="00DC07D9">
              <w:rPr>
                <w:noProof/>
                <w:webHidden/>
              </w:rPr>
            </w:r>
            <w:r w:rsidR="00DC07D9">
              <w:rPr>
                <w:noProof/>
                <w:webHidden/>
              </w:rPr>
              <w:fldChar w:fldCharType="separate"/>
            </w:r>
            <w:r w:rsidR="00DC07D9">
              <w:rPr>
                <w:noProof/>
                <w:webHidden/>
              </w:rPr>
              <w:t>14</w:t>
            </w:r>
            <w:r w:rsidR="00DC07D9">
              <w:rPr>
                <w:noProof/>
                <w:webHidden/>
              </w:rPr>
              <w:fldChar w:fldCharType="end"/>
            </w:r>
          </w:hyperlink>
        </w:p>
        <w:p w14:paraId="733A5E56" w14:textId="6F1901AF" w:rsidR="00DC07D9" w:rsidRDefault="009F0768">
          <w:pPr>
            <w:pStyle w:val="TOC1"/>
            <w:rPr>
              <w:rFonts w:asciiTheme="minorHAnsi" w:eastAsiaTheme="minorEastAsia" w:hAnsiTheme="minorHAnsi"/>
              <w:noProof/>
              <w:szCs w:val="22"/>
              <w:lang w:eastAsia="en-GB"/>
            </w:rPr>
          </w:pPr>
          <w:hyperlink w:anchor="_Toc129688503" w:history="1">
            <w:r w:rsidR="00DC07D9" w:rsidRPr="00B22875">
              <w:rPr>
                <w:rStyle w:val="Hyperlink"/>
                <w:noProof/>
              </w:rPr>
              <w:t>Customer and Practitioner Surveys</w:t>
            </w:r>
            <w:r w:rsidR="00DC07D9">
              <w:rPr>
                <w:noProof/>
                <w:webHidden/>
              </w:rPr>
              <w:tab/>
            </w:r>
            <w:r w:rsidR="00DC07D9">
              <w:rPr>
                <w:noProof/>
                <w:webHidden/>
              </w:rPr>
              <w:fldChar w:fldCharType="begin"/>
            </w:r>
            <w:r w:rsidR="00DC07D9">
              <w:rPr>
                <w:noProof/>
                <w:webHidden/>
              </w:rPr>
              <w:instrText xml:space="preserve"> PAGEREF _Toc129688503 \h </w:instrText>
            </w:r>
            <w:r w:rsidR="00DC07D9">
              <w:rPr>
                <w:noProof/>
                <w:webHidden/>
              </w:rPr>
            </w:r>
            <w:r w:rsidR="00DC07D9">
              <w:rPr>
                <w:noProof/>
                <w:webHidden/>
              </w:rPr>
              <w:fldChar w:fldCharType="separate"/>
            </w:r>
            <w:r w:rsidR="00DC07D9">
              <w:rPr>
                <w:noProof/>
                <w:webHidden/>
              </w:rPr>
              <w:t>16</w:t>
            </w:r>
            <w:r w:rsidR="00DC07D9">
              <w:rPr>
                <w:noProof/>
                <w:webHidden/>
              </w:rPr>
              <w:fldChar w:fldCharType="end"/>
            </w:r>
          </w:hyperlink>
        </w:p>
        <w:p w14:paraId="21420F84" w14:textId="383F790F" w:rsidR="00DC07D9" w:rsidRDefault="009F0768">
          <w:pPr>
            <w:pStyle w:val="TOC1"/>
            <w:rPr>
              <w:rFonts w:asciiTheme="minorHAnsi" w:eastAsiaTheme="minorEastAsia" w:hAnsiTheme="minorHAnsi"/>
              <w:noProof/>
              <w:szCs w:val="22"/>
              <w:lang w:eastAsia="en-GB"/>
            </w:rPr>
          </w:pPr>
          <w:hyperlink w:anchor="_Toc129688504" w:history="1">
            <w:r w:rsidR="00DC07D9" w:rsidRPr="00B22875">
              <w:rPr>
                <w:rStyle w:val="Hyperlink"/>
                <w:noProof/>
              </w:rPr>
              <w:t>Development of Alpha and Beta Versions</w:t>
            </w:r>
            <w:r w:rsidR="00DC07D9">
              <w:rPr>
                <w:noProof/>
                <w:webHidden/>
              </w:rPr>
              <w:tab/>
            </w:r>
            <w:r w:rsidR="00DC07D9">
              <w:rPr>
                <w:noProof/>
                <w:webHidden/>
              </w:rPr>
              <w:fldChar w:fldCharType="begin"/>
            </w:r>
            <w:r w:rsidR="00DC07D9">
              <w:rPr>
                <w:noProof/>
                <w:webHidden/>
              </w:rPr>
              <w:instrText xml:space="preserve"> PAGEREF _Toc129688504 \h </w:instrText>
            </w:r>
            <w:r w:rsidR="00DC07D9">
              <w:rPr>
                <w:noProof/>
                <w:webHidden/>
              </w:rPr>
            </w:r>
            <w:r w:rsidR="00DC07D9">
              <w:rPr>
                <w:noProof/>
                <w:webHidden/>
              </w:rPr>
              <w:fldChar w:fldCharType="separate"/>
            </w:r>
            <w:r w:rsidR="00DC07D9">
              <w:rPr>
                <w:noProof/>
                <w:webHidden/>
              </w:rPr>
              <w:t>17</w:t>
            </w:r>
            <w:r w:rsidR="00DC07D9">
              <w:rPr>
                <w:noProof/>
                <w:webHidden/>
              </w:rPr>
              <w:fldChar w:fldCharType="end"/>
            </w:r>
          </w:hyperlink>
        </w:p>
        <w:p w14:paraId="7E5A019B" w14:textId="7C214B48" w:rsidR="00DC07D9" w:rsidRDefault="009F0768">
          <w:pPr>
            <w:pStyle w:val="TOC1"/>
            <w:rPr>
              <w:rFonts w:asciiTheme="minorHAnsi" w:eastAsiaTheme="minorEastAsia" w:hAnsiTheme="minorHAnsi"/>
              <w:noProof/>
              <w:szCs w:val="22"/>
              <w:lang w:eastAsia="en-GB"/>
            </w:rPr>
          </w:pPr>
          <w:hyperlink w:anchor="_Toc129688505" w:history="1">
            <w:r w:rsidR="00DC07D9" w:rsidRPr="00B22875">
              <w:rPr>
                <w:rStyle w:val="Hyperlink"/>
                <w:noProof/>
              </w:rPr>
              <w:t>Benefits</w:t>
            </w:r>
            <w:r w:rsidR="00DC07D9">
              <w:rPr>
                <w:noProof/>
                <w:webHidden/>
              </w:rPr>
              <w:tab/>
            </w:r>
            <w:r w:rsidR="00DC07D9">
              <w:rPr>
                <w:noProof/>
                <w:webHidden/>
              </w:rPr>
              <w:fldChar w:fldCharType="begin"/>
            </w:r>
            <w:r w:rsidR="00DC07D9">
              <w:rPr>
                <w:noProof/>
                <w:webHidden/>
              </w:rPr>
              <w:instrText xml:space="preserve"> PAGEREF _Toc129688505 \h </w:instrText>
            </w:r>
            <w:r w:rsidR="00DC07D9">
              <w:rPr>
                <w:noProof/>
                <w:webHidden/>
              </w:rPr>
            </w:r>
            <w:r w:rsidR="00DC07D9">
              <w:rPr>
                <w:noProof/>
                <w:webHidden/>
              </w:rPr>
              <w:fldChar w:fldCharType="separate"/>
            </w:r>
            <w:r w:rsidR="00DC07D9">
              <w:rPr>
                <w:noProof/>
                <w:webHidden/>
              </w:rPr>
              <w:t>23</w:t>
            </w:r>
            <w:r w:rsidR="00DC07D9">
              <w:rPr>
                <w:noProof/>
                <w:webHidden/>
              </w:rPr>
              <w:fldChar w:fldCharType="end"/>
            </w:r>
          </w:hyperlink>
        </w:p>
        <w:p w14:paraId="5DFCA286" w14:textId="7A26E133" w:rsidR="00DC07D9" w:rsidRDefault="009F0768">
          <w:pPr>
            <w:pStyle w:val="TOC1"/>
            <w:rPr>
              <w:rFonts w:asciiTheme="minorHAnsi" w:eastAsiaTheme="minorEastAsia" w:hAnsiTheme="minorHAnsi"/>
              <w:noProof/>
              <w:szCs w:val="22"/>
              <w:lang w:eastAsia="en-GB"/>
            </w:rPr>
          </w:pPr>
          <w:hyperlink w:anchor="_Toc129688506" w:history="1">
            <w:r w:rsidR="00DC07D9" w:rsidRPr="00B22875">
              <w:rPr>
                <w:rStyle w:val="Hyperlink"/>
                <w:noProof/>
              </w:rPr>
              <w:t>Marketing</w:t>
            </w:r>
            <w:r w:rsidR="00DC07D9">
              <w:rPr>
                <w:noProof/>
                <w:webHidden/>
              </w:rPr>
              <w:tab/>
            </w:r>
            <w:r w:rsidR="00DC07D9">
              <w:rPr>
                <w:noProof/>
                <w:webHidden/>
              </w:rPr>
              <w:fldChar w:fldCharType="begin"/>
            </w:r>
            <w:r w:rsidR="00DC07D9">
              <w:rPr>
                <w:noProof/>
                <w:webHidden/>
              </w:rPr>
              <w:instrText xml:space="preserve"> PAGEREF _Toc129688506 \h </w:instrText>
            </w:r>
            <w:r w:rsidR="00DC07D9">
              <w:rPr>
                <w:noProof/>
                <w:webHidden/>
              </w:rPr>
            </w:r>
            <w:r w:rsidR="00DC07D9">
              <w:rPr>
                <w:noProof/>
                <w:webHidden/>
              </w:rPr>
              <w:fldChar w:fldCharType="separate"/>
            </w:r>
            <w:r w:rsidR="00DC07D9">
              <w:rPr>
                <w:noProof/>
                <w:webHidden/>
              </w:rPr>
              <w:t>25</w:t>
            </w:r>
            <w:r w:rsidR="00DC07D9">
              <w:rPr>
                <w:noProof/>
                <w:webHidden/>
              </w:rPr>
              <w:fldChar w:fldCharType="end"/>
            </w:r>
          </w:hyperlink>
        </w:p>
        <w:p w14:paraId="3FF3DB67" w14:textId="7DCF32D0" w:rsidR="00DC07D9" w:rsidRDefault="009F0768">
          <w:pPr>
            <w:pStyle w:val="TOC1"/>
            <w:rPr>
              <w:rFonts w:asciiTheme="minorHAnsi" w:eastAsiaTheme="minorEastAsia" w:hAnsiTheme="minorHAnsi"/>
              <w:noProof/>
              <w:szCs w:val="22"/>
              <w:lang w:eastAsia="en-GB"/>
            </w:rPr>
          </w:pPr>
          <w:hyperlink w:anchor="_Toc129688507" w:history="1">
            <w:r w:rsidR="00DC07D9" w:rsidRPr="00B22875">
              <w:rPr>
                <w:rStyle w:val="Hyperlink"/>
                <w:noProof/>
              </w:rPr>
              <w:t>Assessment Process Changes</w:t>
            </w:r>
            <w:r w:rsidR="00DC07D9">
              <w:rPr>
                <w:noProof/>
                <w:webHidden/>
              </w:rPr>
              <w:tab/>
            </w:r>
            <w:r w:rsidR="00DC07D9">
              <w:rPr>
                <w:noProof/>
                <w:webHidden/>
              </w:rPr>
              <w:fldChar w:fldCharType="begin"/>
            </w:r>
            <w:r w:rsidR="00DC07D9">
              <w:rPr>
                <w:noProof/>
                <w:webHidden/>
              </w:rPr>
              <w:instrText xml:space="preserve"> PAGEREF _Toc129688507 \h </w:instrText>
            </w:r>
            <w:r w:rsidR="00DC07D9">
              <w:rPr>
                <w:noProof/>
                <w:webHidden/>
              </w:rPr>
            </w:r>
            <w:r w:rsidR="00DC07D9">
              <w:rPr>
                <w:noProof/>
                <w:webHidden/>
              </w:rPr>
              <w:fldChar w:fldCharType="separate"/>
            </w:r>
            <w:r w:rsidR="00DC07D9">
              <w:rPr>
                <w:noProof/>
                <w:webHidden/>
              </w:rPr>
              <w:t>26</w:t>
            </w:r>
            <w:r w:rsidR="00DC07D9">
              <w:rPr>
                <w:noProof/>
                <w:webHidden/>
              </w:rPr>
              <w:fldChar w:fldCharType="end"/>
            </w:r>
          </w:hyperlink>
        </w:p>
        <w:p w14:paraId="0934C767" w14:textId="14B1C33A" w:rsidR="00DC07D9" w:rsidRDefault="009F0768">
          <w:pPr>
            <w:pStyle w:val="TOC1"/>
            <w:rPr>
              <w:rFonts w:asciiTheme="minorHAnsi" w:eastAsiaTheme="minorEastAsia" w:hAnsiTheme="minorHAnsi"/>
              <w:noProof/>
              <w:szCs w:val="22"/>
              <w:lang w:eastAsia="en-GB"/>
            </w:rPr>
          </w:pPr>
          <w:hyperlink w:anchor="_Toc129688508" w:history="1">
            <w:r w:rsidR="00DC07D9" w:rsidRPr="00B22875">
              <w:rPr>
                <w:rStyle w:val="Hyperlink"/>
                <w:noProof/>
              </w:rPr>
              <w:t>Guidance Materials</w:t>
            </w:r>
            <w:r w:rsidR="00DC07D9">
              <w:rPr>
                <w:noProof/>
                <w:webHidden/>
              </w:rPr>
              <w:tab/>
            </w:r>
            <w:r w:rsidR="00DC07D9">
              <w:rPr>
                <w:noProof/>
                <w:webHidden/>
              </w:rPr>
              <w:fldChar w:fldCharType="begin"/>
            </w:r>
            <w:r w:rsidR="00DC07D9">
              <w:rPr>
                <w:noProof/>
                <w:webHidden/>
              </w:rPr>
              <w:instrText xml:space="preserve"> PAGEREF _Toc129688508 \h </w:instrText>
            </w:r>
            <w:r w:rsidR="00DC07D9">
              <w:rPr>
                <w:noProof/>
                <w:webHidden/>
              </w:rPr>
            </w:r>
            <w:r w:rsidR="00DC07D9">
              <w:rPr>
                <w:noProof/>
                <w:webHidden/>
              </w:rPr>
              <w:fldChar w:fldCharType="separate"/>
            </w:r>
            <w:r w:rsidR="00DC07D9">
              <w:rPr>
                <w:noProof/>
                <w:webHidden/>
              </w:rPr>
              <w:t>28</w:t>
            </w:r>
            <w:r w:rsidR="00DC07D9">
              <w:rPr>
                <w:noProof/>
                <w:webHidden/>
              </w:rPr>
              <w:fldChar w:fldCharType="end"/>
            </w:r>
          </w:hyperlink>
        </w:p>
        <w:p w14:paraId="48D26ABF" w14:textId="1BF4313F" w:rsidR="00DC07D9" w:rsidRDefault="009F0768">
          <w:pPr>
            <w:pStyle w:val="TOC1"/>
            <w:rPr>
              <w:rFonts w:asciiTheme="minorHAnsi" w:eastAsiaTheme="minorEastAsia" w:hAnsiTheme="minorHAnsi"/>
              <w:noProof/>
              <w:szCs w:val="22"/>
              <w:lang w:eastAsia="en-GB"/>
            </w:rPr>
          </w:pPr>
          <w:hyperlink w:anchor="_Toc129688509" w:history="1">
            <w:r w:rsidR="00DC07D9" w:rsidRPr="00B22875">
              <w:rPr>
                <w:rStyle w:val="Hyperlink"/>
                <w:noProof/>
              </w:rPr>
              <w:t>Appendix 1 – Advisory Group Membership</w:t>
            </w:r>
            <w:r w:rsidR="00DC07D9">
              <w:rPr>
                <w:noProof/>
                <w:webHidden/>
              </w:rPr>
              <w:tab/>
            </w:r>
            <w:r w:rsidR="00DC07D9">
              <w:rPr>
                <w:noProof/>
                <w:webHidden/>
              </w:rPr>
              <w:fldChar w:fldCharType="begin"/>
            </w:r>
            <w:r w:rsidR="00DC07D9">
              <w:rPr>
                <w:noProof/>
                <w:webHidden/>
              </w:rPr>
              <w:instrText xml:space="preserve"> PAGEREF _Toc129688509 \h </w:instrText>
            </w:r>
            <w:r w:rsidR="00DC07D9">
              <w:rPr>
                <w:noProof/>
                <w:webHidden/>
              </w:rPr>
            </w:r>
            <w:r w:rsidR="00DC07D9">
              <w:rPr>
                <w:noProof/>
                <w:webHidden/>
              </w:rPr>
              <w:fldChar w:fldCharType="separate"/>
            </w:r>
            <w:r w:rsidR="00DC07D9">
              <w:rPr>
                <w:noProof/>
                <w:webHidden/>
              </w:rPr>
              <w:t>29</w:t>
            </w:r>
            <w:r w:rsidR="00DC07D9">
              <w:rPr>
                <w:noProof/>
                <w:webHidden/>
              </w:rPr>
              <w:fldChar w:fldCharType="end"/>
            </w:r>
          </w:hyperlink>
        </w:p>
        <w:p w14:paraId="4B56014B" w14:textId="04994EA5" w:rsidR="00DC07D9" w:rsidRDefault="009F0768">
          <w:pPr>
            <w:pStyle w:val="TOC1"/>
            <w:rPr>
              <w:rFonts w:asciiTheme="minorHAnsi" w:eastAsiaTheme="minorEastAsia" w:hAnsiTheme="minorHAnsi"/>
              <w:noProof/>
              <w:szCs w:val="22"/>
              <w:lang w:eastAsia="en-GB"/>
            </w:rPr>
          </w:pPr>
          <w:hyperlink w:anchor="_Toc129688510" w:history="1">
            <w:r w:rsidR="00DC07D9" w:rsidRPr="00B22875">
              <w:rPr>
                <w:rStyle w:val="Hyperlink"/>
                <w:noProof/>
              </w:rPr>
              <w:t>Appendix 2 – Pilot Organisations</w:t>
            </w:r>
            <w:r w:rsidR="00DC07D9">
              <w:rPr>
                <w:noProof/>
                <w:webHidden/>
              </w:rPr>
              <w:tab/>
            </w:r>
            <w:r w:rsidR="00DC07D9">
              <w:rPr>
                <w:noProof/>
                <w:webHidden/>
              </w:rPr>
              <w:fldChar w:fldCharType="begin"/>
            </w:r>
            <w:r w:rsidR="00DC07D9">
              <w:rPr>
                <w:noProof/>
                <w:webHidden/>
              </w:rPr>
              <w:instrText xml:space="preserve"> PAGEREF _Toc129688510 \h </w:instrText>
            </w:r>
            <w:r w:rsidR="00DC07D9">
              <w:rPr>
                <w:noProof/>
                <w:webHidden/>
              </w:rPr>
            </w:r>
            <w:r w:rsidR="00DC07D9">
              <w:rPr>
                <w:noProof/>
                <w:webHidden/>
              </w:rPr>
              <w:fldChar w:fldCharType="separate"/>
            </w:r>
            <w:r w:rsidR="00DC07D9">
              <w:rPr>
                <w:noProof/>
                <w:webHidden/>
              </w:rPr>
              <w:t>30</w:t>
            </w:r>
            <w:r w:rsidR="00DC07D9">
              <w:rPr>
                <w:noProof/>
                <w:webHidden/>
              </w:rPr>
              <w:fldChar w:fldCharType="end"/>
            </w:r>
          </w:hyperlink>
        </w:p>
        <w:p w14:paraId="61E8D295" w14:textId="3D7C8744" w:rsidR="00A93ABB" w:rsidRDefault="00350757">
          <w:pPr>
            <w:rPr>
              <w:b/>
              <w:shd w:val="clear" w:color="auto" w:fill="E6E6E6"/>
            </w:rPr>
          </w:pPr>
          <w:r>
            <w:rPr>
              <w:color w:val="2B579A"/>
              <w:shd w:val="clear" w:color="auto" w:fill="E6E6E6"/>
            </w:rPr>
            <w:fldChar w:fldCharType="end"/>
          </w:r>
        </w:p>
      </w:sdtContent>
    </w:sdt>
    <w:p w14:paraId="37A3EEDB" w14:textId="5DC3734E" w:rsidR="00CC16C8" w:rsidRDefault="00CC16C8">
      <w:pPr>
        <w:rPr>
          <w:bCs/>
          <w:shd w:val="clear" w:color="auto" w:fill="E6E6E6"/>
        </w:rPr>
      </w:pPr>
    </w:p>
    <w:p w14:paraId="4404F82C" w14:textId="77777777" w:rsidR="00BD6D0E" w:rsidRDefault="00BD6D0E" w:rsidP="00BD6D0E"/>
    <w:p w14:paraId="79703D73" w14:textId="46E429D8" w:rsidR="00C277C9" w:rsidRPr="00817F2E" w:rsidRDefault="00C277C9" w:rsidP="00BD6D0E">
      <w:pPr>
        <w:rPr>
          <w:sz w:val="16"/>
          <w:szCs w:val="16"/>
        </w:rPr>
        <w:sectPr w:rsidR="00C277C9" w:rsidRPr="00817F2E" w:rsidSect="001A6FC1">
          <w:headerReference w:type="first" r:id="rId14"/>
          <w:footerReference w:type="first" r:id="rId15"/>
          <w:pgSz w:w="11900" w:h="16840" w:code="9"/>
          <w:pgMar w:top="1134" w:right="1134" w:bottom="1134" w:left="1134" w:header="709" w:footer="709" w:gutter="0"/>
          <w:cols w:space="708"/>
          <w:titlePg/>
          <w:docGrid w:linePitch="360"/>
        </w:sectPr>
      </w:pPr>
      <w:r w:rsidRPr="00817F2E">
        <w:rPr>
          <w:sz w:val="16"/>
          <w:szCs w:val="16"/>
        </w:rPr>
        <w:t xml:space="preserve">A </w:t>
      </w:r>
      <w:r w:rsidR="00854414" w:rsidRPr="00817F2E">
        <w:rPr>
          <w:sz w:val="16"/>
          <w:szCs w:val="16"/>
        </w:rPr>
        <w:t>copy of the report with further appendices can be found</w:t>
      </w:r>
      <w:r w:rsidR="00236DF5" w:rsidRPr="00817F2E">
        <w:rPr>
          <w:sz w:val="16"/>
          <w:szCs w:val="16"/>
        </w:rPr>
        <w:t xml:space="preserve"> </w:t>
      </w:r>
      <w:r w:rsidR="00C23F96">
        <w:rPr>
          <w:sz w:val="16"/>
          <w:szCs w:val="16"/>
        </w:rPr>
        <w:t xml:space="preserve">here </w:t>
      </w:r>
      <w:r w:rsidR="00854414" w:rsidRPr="00817F2E">
        <w:rPr>
          <w:sz w:val="16"/>
          <w:szCs w:val="16"/>
        </w:rPr>
        <w:t xml:space="preserve"> </w:t>
      </w:r>
      <w:hyperlink r:id="rId16" w:history="1">
        <w:r w:rsidR="00E27787" w:rsidRPr="00E27787">
          <w:rPr>
            <w:rStyle w:val="Hyperlink"/>
            <w:sz w:val="16"/>
            <w:szCs w:val="16"/>
          </w:rPr>
          <w:t>Understanding the matrix Standard Review</w:t>
        </w:r>
      </w:hyperlink>
    </w:p>
    <w:p w14:paraId="608C030E" w14:textId="448DE942" w:rsidR="007E10B7" w:rsidRPr="00426A6A" w:rsidRDefault="003801D9" w:rsidP="002217F7">
      <w:pPr>
        <w:pStyle w:val="Title"/>
        <w:rPr>
          <w:sz w:val="48"/>
          <w:szCs w:val="48"/>
        </w:rPr>
      </w:pPr>
      <w:r w:rsidRPr="00426A6A">
        <w:rPr>
          <w:sz w:val="48"/>
          <w:szCs w:val="48"/>
        </w:rPr>
        <w:lastRenderedPageBreak/>
        <w:t xml:space="preserve">Review of the </w:t>
      </w:r>
      <w:r w:rsidRPr="00426A6A">
        <w:rPr>
          <w:b/>
          <w:bCs/>
          <w:sz w:val="48"/>
          <w:szCs w:val="48"/>
        </w:rPr>
        <w:t>matrix</w:t>
      </w:r>
      <w:r w:rsidRPr="00426A6A">
        <w:rPr>
          <w:sz w:val="48"/>
          <w:szCs w:val="48"/>
        </w:rPr>
        <w:t xml:space="preserve"> Standard</w:t>
      </w:r>
    </w:p>
    <w:p w14:paraId="1850B795" w14:textId="77777777" w:rsidR="00F40A07" w:rsidRPr="00426A6A" w:rsidRDefault="003801D9" w:rsidP="002217F7">
      <w:pPr>
        <w:pStyle w:val="Title"/>
        <w:rPr>
          <w:sz w:val="48"/>
          <w:szCs w:val="48"/>
        </w:rPr>
      </w:pPr>
      <w:r w:rsidRPr="00426A6A">
        <w:rPr>
          <w:sz w:val="48"/>
          <w:szCs w:val="48"/>
        </w:rPr>
        <w:t>Final Report</w:t>
      </w:r>
    </w:p>
    <w:p w14:paraId="5D2F6B12" w14:textId="054102C2" w:rsidR="003801D9" w:rsidRPr="00C36FBC" w:rsidRDefault="004E122C" w:rsidP="002217F7">
      <w:pPr>
        <w:pStyle w:val="Title"/>
        <w:rPr>
          <w:sz w:val="40"/>
          <w:szCs w:val="40"/>
        </w:rPr>
      </w:pPr>
      <w:r w:rsidRPr="00C36FBC">
        <w:rPr>
          <w:sz w:val="40"/>
          <w:szCs w:val="40"/>
        </w:rPr>
        <w:t>28 November</w:t>
      </w:r>
      <w:r w:rsidR="00F40A07" w:rsidRPr="00C36FBC">
        <w:rPr>
          <w:sz w:val="40"/>
          <w:szCs w:val="40"/>
        </w:rPr>
        <w:t xml:space="preserve"> </w:t>
      </w:r>
      <w:r w:rsidR="003801D9" w:rsidRPr="00C36FBC">
        <w:rPr>
          <w:sz w:val="40"/>
          <w:szCs w:val="40"/>
        </w:rPr>
        <w:t>2022</w:t>
      </w:r>
    </w:p>
    <w:p w14:paraId="2B9C08C1" w14:textId="028C37A0" w:rsidR="00761953" w:rsidRPr="00C36FBC" w:rsidRDefault="007E10B7" w:rsidP="000B550F">
      <w:pPr>
        <w:pStyle w:val="Heading1"/>
      </w:pPr>
      <w:bookmarkStart w:id="0" w:name="_Toc116456704"/>
      <w:bookmarkStart w:id="1" w:name="_Toc129688493"/>
      <w:r w:rsidRPr="00C36FBC">
        <w:t>For</w:t>
      </w:r>
      <w:r w:rsidR="00984D3D">
        <w:t>eword</w:t>
      </w:r>
      <w:bookmarkEnd w:id="0"/>
      <w:bookmarkEnd w:id="1"/>
    </w:p>
    <w:p w14:paraId="75A6657D" w14:textId="7E84B7D9" w:rsidR="00C527DC" w:rsidRPr="00B94720" w:rsidRDefault="00C527DC" w:rsidP="000B550F">
      <w:pPr>
        <w:spacing w:before="120"/>
        <w:rPr>
          <w:b/>
          <w:bCs/>
          <w:color w:val="2F5496" w:themeColor="accent1" w:themeShade="BF"/>
          <w:sz w:val="24"/>
        </w:rPr>
      </w:pPr>
      <w:r w:rsidRPr="00B94720">
        <w:rPr>
          <w:b/>
          <w:bCs/>
          <w:color w:val="2F5496" w:themeColor="accent1" w:themeShade="BF"/>
          <w:sz w:val="24"/>
        </w:rPr>
        <w:t>By the Chair of the Review</w:t>
      </w:r>
    </w:p>
    <w:p w14:paraId="46746AF7" w14:textId="77777777" w:rsidR="007E10B7" w:rsidRPr="00C36FBC" w:rsidRDefault="007E10B7" w:rsidP="002217F7">
      <w:pPr>
        <w:rPr>
          <w:rFonts w:cs="Arial"/>
        </w:rPr>
      </w:pPr>
    </w:p>
    <w:p w14:paraId="41BE761F" w14:textId="7BF3E4AB" w:rsidR="00BE7B5A" w:rsidRPr="007C377A" w:rsidRDefault="00D15627" w:rsidP="002217F7">
      <w:pPr>
        <w:rPr>
          <w:sz w:val="24"/>
        </w:rPr>
      </w:pPr>
      <w:r w:rsidRPr="007C377A">
        <w:rPr>
          <w:sz w:val="24"/>
        </w:rPr>
        <w:t xml:space="preserve">The world has changed fundamentally in recent years. We have seen the impact of </w:t>
      </w:r>
      <w:r w:rsidR="00EE4DB5" w:rsidRPr="007C377A">
        <w:rPr>
          <w:sz w:val="24"/>
        </w:rPr>
        <w:t>COVID-19</w:t>
      </w:r>
      <w:r w:rsidRPr="007C377A">
        <w:rPr>
          <w:sz w:val="24"/>
        </w:rPr>
        <w:t xml:space="preserve"> on job security, the emergence of a digital and knowledge economy, globalisation and climate change. Millions of people work in jobs today which did not exist when their parent’s left education and first went into work. </w:t>
      </w:r>
      <w:r w:rsidR="00324CE3" w:rsidRPr="007C377A">
        <w:rPr>
          <w:sz w:val="24"/>
        </w:rPr>
        <w:t>T</w:t>
      </w:r>
      <w:r w:rsidRPr="007C377A">
        <w:rPr>
          <w:sz w:val="24"/>
        </w:rPr>
        <w:t>here are</w:t>
      </w:r>
      <w:r w:rsidR="005A4DF7" w:rsidRPr="007C377A">
        <w:rPr>
          <w:sz w:val="24"/>
        </w:rPr>
        <w:t xml:space="preserve"> also</w:t>
      </w:r>
      <w:r w:rsidRPr="007C377A">
        <w:rPr>
          <w:sz w:val="24"/>
        </w:rPr>
        <w:t xml:space="preserve"> growing concerns about income polarisation, poverty, health and wellbeing. We have all witnessed dramatic shifts in how people live their lives and creating a livelihood.</w:t>
      </w:r>
    </w:p>
    <w:p w14:paraId="2430888E" w14:textId="77777777" w:rsidR="00D15627" w:rsidRPr="007C377A" w:rsidRDefault="00D15627" w:rsidP="002217F7">
      <w:pPr>
        <w:rPr>
          <w:rFonts w:cs="Arial"/>
          <w:sz w:val="24"/>
        </w:rPr>
      </w:pPr>
    </w:p>
    <w:p w14:paraId="777B4FCE" w14:textId="632FF48D" w:rsidR="00023263" w:rsidRPr="007C377A" w:rsidRDefault="00D15627" w:rsidP="002217F7">
      <w:pPr>
        <w:rPr>
          <w:sz w:val="24"/>
        </w:rPr>
      </w:pPr>
      <w:r w:rsidRPr="007C377A">
        <w:rPr>
          <w:sz w:val="24"/>
        </w:rPr>
        <w:t>In this new world</w:t>
      </w:r>
      <w:r w:rsidR="00F35616" w:rsidRPr="007C377A">
        <w:rPr>
          <w:sz w:val="24"/>
        </w:rPr>
        <w:t>,</w:t>
      </w:r>
      <w:r w:rsidRPr="007C377A">
        <w:rPr>
          <w:sz w:val="24"/>
        </w:rPr>
        <w:t xml:space="preserve"> marked as it is by instability and opportunity, the value of trustworthy information advice and guidance (IAG) is greater than ever. It falls to public, private and third sector organisations to act as ‘safety nets’ in local and online communities guiding those facing challenges and important decisions that lie ahead. The </w:t>
      </w:r>
      <w:r w:rsidRPr="007C377A">
        <w:rPr>
          <w:b/>
          <w:bCs/>
          <w:sz w:val="24"/>
        </w:rPr>
        <w:t xml:space="preserve">matrix </w:t>
      </w:r>
      <w:r w:rsidRPr="007C377A">
        <w:rPr>
          <w:sz w:val="24"/>
        </w:rPr>
        <w:t>Standard</w:t>
      </w:r>
      <w:r w:rsidR="00AE41EE" w:rsidRPr="007C377A">
        <w:rPr>
          <w:sz w:val="24"/>
        </w:rPr>
        <w:t xml:space="preserve"> (launched in 2002)</w:t>
      </w:r>
      <w:r w:rsidR="234986F2" w:rsidRPr="007C377A">
        <w:rPr>
          <w:sz w:val="24"/>
        </w:rPr>
        <w:t xml:space="preserve"> is the intellectual property of the</w:t>
      </w:r>
      <w:r w:rsidRPr="007C377A">
        <w:rPr>
          <w:sz w:val="24"/>
        </w:rPr>
        <w:t xml:space="preserve"> Department for Education, performs a key role in </w:t>
      </w:r>
      <w:r w:rsidR="006531A9" w:rsidRPr="007C377A">
        <w:rPr>
          <w:sz w:val="24"/>
        </w:rPr>
        <w:t>assuring the</w:t>
      </w:r>
      <w:r w:rsidRPr="007C377A">
        <w:rPr>
          <w:sz w:val="24"/>
        </w:rPr>
        <w:t xml:space="preserve"> quality</w:t>
      </w:r>
      <w:r w:rsidR="006531A9" w:rsidRPr="007C377A">
        <w:rPr>
          <w:sz w:val="24"/>
        </w:rPr>
        <w:t xml:space="preserve"> of</w:t>
      </w:r>
      <w:r w:rsidRPr="007C377A">
        <w:rPr>
          <w:sz w:val="24"/>
        </w:rPr>
        <w:t xml:space="preserve"> IAG provision, backed up with trained and qualified practitioners working in differing offline or online settings. It has been timely to take stock of the existing</w:t>
      </w:r>
      <w:r w:rsidR="00754384" w:rsidRPr="007C377A">
        <w:rPr>
          <w:sz w:val="24"/>
        </w:rPr>
        <w:t xml:space="preserve"> </w:t>
      </w:r>
      <w:r w:rsidR="00754384" w:rsidRPr="007C377A">
        <w:rPr>
          <w:b/>
          <w:bCs/>
          <w:sz w:val="24"/>
        </w:rPr>
        <w:t>matri</w:t>
      </w:r>
      <w:r w:rsidR="00754384" w:rsidRPr="007C377A">
        <w:rPr>
          <w:b/>
          <w:sz w:val="24"/>
        </w:rPr>
        <w:t>x</w:t>
      </w:r>
      <w:r w:rsidRPr="007C377A">
        <w:rPr>
          <w:sz w:val="24"/>
        </w:rPr>
        <w:t xml:space="preserve"> Standard and to future proof </w:t>
      </w:r>
      <w:r w:rsidR="008F084E" w:rsidRPr="007C377A">
        <w:rPr>
          <w:sz w:val="24"/>
        </w:rPr>
        <w:t>it.</w:t>
      </w:r>
      <w:r w:rsidR="00B35623" w:rsidRPr="007C377A">
        <w:rPr>
          <w:sz w:val="24"/>
        </w:rPr>
        <w:t xml:space="preserve"> </w:t>
      </w:r>
      <w:r w:rsidR="007D5AAC" w:rsidRPr="007C377A">
        <w:rPr>
          <w:sz w:val="24"/>
        </w:rPr>
        <w:t xml:space="preserve">We </w:t>
      </w:r>
      <w:r w:rsidR="00C2289D" w:rsidRPr="007C377A">
        <w:rPr>
          <w:sz w:val="24"/>
        </w:rPr>
        <w:t>are</w:t>
      </w:r>
      <w:r w:rsidR="007D5AAC" w:rsidRPr="007C377A">
        <w:rPr>
          <w:sz w:val="24"/>
        </w:rPr>
        <w:t xml:space="preserve"> pleased to</w:t>
      </w:r>
      <w:r w:rsidR="002F377C" w:rsidRPr="007C377A">
        <w:rPr>
          <w:sz w:val="24"/>
        </w:rPr>
        <w:t xml:space="preserve"> have</w:t>
      </w:r>
      <w:r w:rsidR="007D5AAC" w:rsidRPr="007C377A">
        <w:rPr>
          <w:sz w:val="24"/>
        </w:rPr>
        <w:t xml:space="preserve"> </w:t>
      </w:r>
      <w:r w:rsidR="00440C5A" w:rsidRPr="007C377A">
        <w:rPr>
          <w:sz w:val="24"/>
        </w:rPr>
        <w:t>modernise</w:t>
      </w:r>
      <w:r w:rsidR="002F377C" w:rsidRPr="007C377A">
        <w:rPr>
          <w:sz w:val="24"/>
        </w:rPr>
        <w:t>d</w:t>
      </w:r>
      <w:r w:rsidR="00440C5A" w:rsidRPr="007C377A">
        <w:rPr>
          <w:sz w:val="24"/>
        </w:rPr>
        <w:t xml:space="preserve"> and update</w:t>
      </w:r>
      <w:r w:rsidR="00FE0057" w:rsidRPr="007C377A">
        <w:rPr>
          <w:sz w:val="24"/>
        </w:rPr>
        <w:t>d</w:t>
      </w:r>
      <w:r w:rsidR="00440C5A" w:rsidRPr="007C377A">
        <w:rPr>
          <w:sz w:val="24"/>
        </w:rPr>
        <w:t xml:space="preserve"> the </w:t>
      </w:r>
      <w:r w:rsidR="00D94A33" w:rsidRPr="007C377A">
        <w:rPr>
          <w:b/>
          <w:bCs/>
          <w:sz w:val="24"/>
        </w:rPr>
        <w:t>matrix</w:t>
      </w:r>
      <w:r w:rsidR="00D94A33" w:rsidRPr="007C377A">
        <w:rPr>
          <w:sz w:val="24"/>
        </w:rPr>
        <w:t xml:space="preserve"> </w:t>
      </w:r>
      <w:r w:rsidR="00440C5A" w:rsidRPr="007C377A">
        <w:rPr>
          <w:sz w:val="24"/>
        </w:rPr>
        <w:t>Standard</w:t>
      </w:r>
      <w:r w:rsidR="00BB01CB" w:rsidRPr="007C377A">
        <w:rPr>
          <w:sz w:val="24"/>
        </w:rPr>
        <w:t>,</w:t>
      </w:r>
      <w:r w:rsidR="00440C5A" w:rsidRPr="007C377A">
        <w:rPr>
          <w:sz w:val="24"/>
        </w:rPr>
        <w:t xml:space="preserve"> </w:t>
      </w:r>
      <w:r w:rsidR="00B4430B" w:rsidRPr="007C377A">
        <w:rPr>
          <w:sz w:val="24"/>
        </w:rPr>
        <w:t>ensur</w:t>
      </w:r>
      <w:r w:rsidR="00FE0057" w:rsidRPr="007C377A">
        <w:rPr>
          <w:sz w:val="24"/>
        </w:rPr>
        <w:t>ing</w:t>
      </w:r>
      <w:r w:rsidR="00B4430B" w:rsidRPr="007C377A">
        <w:rPr>
          <w:sz w:val="24"/>
        </w:rPr>
        <w:t xml:space="preserve"> that it remains world class</w:t>
      </w:r>
      <w:r w:rsidR="00E0122A" w:rsidRPr="007C377A">
        <w:rPr>
          <w:sz w:val="24"/>
        </w:rPr>
        <w:t xml:space="preserve"> and fully aligned with </w:t>
      </w:r>
      <w:r w:rsidR="00FE0057" w:rsidRPr="007C377A">
        <w:rPr>
          <w:sz w:val="24"/>
        </w:rPr>
        <w:t>the Gatsby Benchmark</w:t>
      </w:r>
      <w:r w:rsidR="00F35616" w:rsidRPr="007C377A">
        <w:rPr>
          <w:sz w:val="24"/>
        </w:rPr>
        <w:t>s</w:t>
      </w:r>
      <w:r w:rsidR="00FE0057" w:rsidRPr="007C377A">
        <w:rPr>
          <w:sz w:val="24"/>
        </w:rPr>
        <w:t xml:space="preserve"> </w:t>
      </w:r>
      <w:r w:rsidR="00277698" w:rsidRPr="007C377A">
        <w:rPr>
          <w:sz w:val="24"/>
        </w:rPr>
        <w:t>for Good Careers Guidance</w:t>
      </w:r>
      <w:r w:rsidR="00455C8C" w:rsidRPr="007C377A">
        <w:rPr>
          <w:sz w:val="24"/>
        </w:rPr>
        <w:t xml:space="preserve"> </w:t>
      </w:r>
      <w:r w:rsidR="00277698" w:rsidRPr="007C377A">
        <w:rPr>
          <w:sz w:val="24"/>
        </w:rPr>
        <w:t>and</w:t>
      </w:r>
      <w:r w:rsidR="00C93771" w:rsidRPr="007C377A">
        <w:rPr>
          <w:sz w:val="24"/>
        </w:rPr>
        <w:t xml:space="preserve"> the</w:t>
      </w:r>
      <w:r w:rsidR="00277698" w:rsidRPr="007C377A">
        <w:rPr>
          <w:sz w:val="24"/>
        </w:rPr>
        <w:t xml:space="preserve"> </w:t>
      </w:r>
      <w:r w:rsidR="00455C8C" w:rsidRPr="007C377A">
        <w:rPr>
          <w:sz w:val="24"/>
        </w:rPr>
        <w:t>Ofsted</w:t>
      </w:r>
      <w:r w:rsidR="00C06B20" w:rsidRPr="007C377A">
        <w:rPr>
          <w:sz w:val="24"/>
        </w:rPr>
        <w:t xml:space="preserve"> </w:t>
      </w:r>
      <w:r w:rsidR="005E28F5" w:rsidRPr="007C377A">
        <w:rPr>
          <w:sz w:val="24"/>
        </w:rPr>
        <w:t xml:space="preserve">Education </w:t>
      </w:r>
      <w:r w:rsidR="00C06B20" w:rsidRPr="007C377A">
        <w:rPr>
          <w:sz w:val="24"/>
        </w:rPr>
        <w:t>Inspection Framework</w:t>
      </w:r>
      <w:r w:rsidR="00455C8C" w:rsidRPr="007C377A">
        <w:rPr>
          <w:sz w:val="24"/>
        </w:rPr>
        <w:t>.</w:t>
      </w:r>
    </w:p>
    <w:p w14:paraId="32CC361E" w14:textId="77777777" w:rsidR="008F084E" w:rsidRPr="007C377A" w:rsidRDefault="008F084E" w:rsidP="002217F7">
      <w:pPr>
        <w:rPr>
          <w:rFonts w:cs="Arial"/>
          <w:sz w:val="24"/>
        </w:rPr>
      </w:pPr>
    </w:p>
    <w:p w14:paraId="18CD86A5" w14:textId="7B46105A" w:rsidR="00455C8C" w:rsidRPr="007C377A" w:rsidRDefault="00D15627" w:rsidP="002217F7">
      <w:pPr>
        <w:rPr>
          <w:rFonts w:cs="Arial"/>
          <w:sz w:val="24"/>
        </w:rPr>
      </w:pPr>
      <w:r w:rsidRPr="007C377A">
        <w:rPr>
          <w:rFonts w:cs="Arial"/>
          <w:sz w:val="24"/>
        </w:rPr>
        <w:t>Widespread consultations with national, regional and local stakeholders have taken place</w:t>
      </w:r>
      <w:r w:rsidR="00BB01CB" w:rsidRPr="007C377A">
        <w:rPr>
          <w:rFonts w:cs="Arial"/>
          <w:sz w:val="24"/>
        </w:rPr>
        <w:t>,</w:t>
      </w:r>
      <w:r w:rsidRPr="007C377A">
        <w:rPr>
          <w:rFonts w:cs="Arial"/>
          <w:sz w:val="24"/>
        </w:rPr>
        <w:t xml:space="preserve"> and new ideas generated on best practice that exists in many differing settings. We have learned more about the importance of ensuring high quality IAG </w:t>
      </w:r>
      <w:r w:rsidR="00BB01CB" w:rsidRPr="007C377A">
        <w:rPr>
          <w:rFonts w:cs="Arial"/>
          <w:sz w:val="24"/>
        </w:rPr>
        <w:t xml:space="preserve">is </w:t>
      </w:r>
      <w:r w:rsidRPr="007C377A">
        <w:rPr>
          <w:rFonts w:cs="Arial"/>
          <w:sz w:val="24"/>
        </w:rPr>
        <w:t>in place for all, particularly those most vulnerable, to support people to thrive and be resilient in the challenges they face - not to be overwhelmed by them or feel abandoned. There is no more compelling motive for humankind than the instinct to provide for and protect people’</w:t>
      </w:r>
      <w:r w:rsidR="006531A9" w:rsidRPr="007C377A">
        <w:rPr>
          <w:rFonts w:cs="Arial"/>
          <w:sz w:val="24"/>
        </w:rPr>
        <w:t>s</w:t>
      </w:r>
      <w:r w:rsidRPr="007C377A">
        <w:rPr>
          <w:rFonts w:cs="Arial"/>
          <w:sz w:val="24"/>
        </w:rPr>
        <w:t xml:space="preserve"> lives and livelihoods. To inform them, educate them, and give them hope that they will be able to make good decisions is critical. The </w:t>
      </w:r>
      <w:r w:rsidR="00042133" w:rsidRPr="007C377A">
        <w:rPr>
          <w:rFonts w:cs="Arial"/>
          <w:sz w:val="24"/>
        </w:rPr>
        <w:t>revised</w:t>
      </w:r>
      <w:r w:rsidRPr="007C377A">
        <w:rPr>
          <w:rFonts w:cs="Arial"/>
          <w:sz w:val="24"/>
        </w:rPr>
        <w:t xml:space="preserve"> </w:t>
      </w:r>
      <w:r w:rsidRPr="007C377A">
        <w:rPr>
          <w:rFonts w:cs="Arial"/>
          <w:b/>
          <w:bCs/>
          <w:sz w:val="24"/>
        </w:rPr>
        <w:t>matrix</w:t>
      </w:r>
      <w:r w:rsidRPr="007C377A">
        <w:rPr>
          <w:rFonts w:cs="Arial"/>
          <w:sz w:val="24"/>
        </w:rPr>
        <w:t xml:space="preserve"> Standard contributes to these goals.</w:t>
      </w:r>
    </w:p>
    <w:p w14:paraId="42C65A8E" w14:textId="77777777" w:rsidR="00BE7B5A" w:rsidRPr="007C377A" w:rsidRDefault="00BE7B5A" w:rsidP="002217F7">
      <w:pPr>
        <w:rPr>
          <w:rFonts w:cs="Arial"/>
          <w:sz w:val="24"/>
        </w:rPr>
      </w:pPr>
    </w:p>
    <w:p w14:paraId="5F104EA6" w14:textId="3A32EFDD" w:rsidR="00D15627" w:rsidRPr="007C377A" w:rsidRDefault="00D15627" w:rsidP="002217F7">
      <w:pPr>
        <w:rPr>
          <w:rFonts w:cs="Arial"/>
          <w:sz w:val="24"/>
        </w:rPr>
      </w:pPr>
      <w:r w:rsidRPr="007C377A">
        <w:rPr>
          <w:rFonts w:cs="Arial"/>
          <w:sz w:val="24"/>
        </w:rPr>
        <w:t xml:space="preserve">I would like to thank the Department for its continued commitment to supporting the </w:t>
      </w:r>
      <w:r w:rsidRPr="007C377A">
        <w:rPr>
          <w:rFonts w:cs="Arial"/>
          <w:b/>
          <w:bCs/>
          <w:sz w:val="24"/>
        </w:rPr>
        <w:t>matrix</w:t>
      </w:r>
      <w:r w:rsidRPr="007C377A">
        <w:rPr>
          <w:rFonts w:cs="Arial"/>
          <w:sz w:val="24"/>
        </w:rPr>
        <w:t xml:space="preserve"> quality Standard and to The Growth Company, who managed the formal review and act as guardian of the </w:t>
      </w:r>
      <w:r w:rsidR="009B5C40" w:rsidRPr="007C377A">
        <w:rPr>
          <w:rFonts w:cs="Arial"/>
          <w:sz w:val="24"/>
        </w:rPr>
        <w:t xml:space="preserve">matrix </w:t>
      </w:r>
      <w:r w:rsidRPr="007C377A">
        <w:rPr>
          <w:rFonts w:cs="Arial"/>
          <w:sz w:val="24"/>
        </w:rPr>
        <w:t xml:space="preserve">Standard. Most importantly, we are all extremely grateful to the Executive Group, Advisory Group and many individuals and organisations who came on the </w:t>
      </w:r>
      <w:r w:rsidRPr="007C377A">
        <w:rPr>
          <w:rFonts w:cs="Arial"/>
          <w:b/>
          <w:bCs/>
          <w:sz w:val="24"/>
        </w:rPr>
        <w:t>matrix</w:t>
      </w:r>
      <w:r w:rsidRPr="007C377A">
        <w:rPr>
          <w:rFonts w:cs="Arial"/>
          <w:sz w:val="24"/>
        </w:rPr>
        <w:t xml:space="preserve"> Standard review journey with us. With your commitment to the values that underpin the </w:t>
      </w:r>
      <w:r w:rsidR="007C3251" w:rsidRPr="007C377A">
        <w:rPr>
          <w:rFonts w:cs="Arial"/>
          <w:sz w:val="24"/>
        </w:rPr>
        <w:t xml:space="preserve">matrix </w:t>
      </w:r>
      <w:r w:rsidRPr="007C377A">
        <w:rPr>
          <w:rFonts w:cs="Arial"/>
          <w:sz w:val="24"/>
        </w:rPr>
        <w:t>Standard and all your efforts in delivering IAG services during a time of unprecedented change, you have demonstrated we all need to work closely to rise to the challenges ahead.</w:t>
      </w:r>
    </w:p>
    <w:p w14:paraId="3746517D" w14:textId="77777777" w:rsidR="00455C8C" w:rsidRPr="00C36FBC" w:rsidRDefault="00455C8C" w:rsidP="002217F7">
      <w:pPr>
        <w:rPr>
          <w:rFonts w:cs="Arial"/>
          <w:b/>
          <w:bCs/>
        </w:rPr>
      </w:pPr>
    </w:p>
    <w:p w14:paraId="0FA618D7" w14:textId="1FB3295B" w:rsidR="00D15627" w:rsidRPr="00B94720" w:rsidRDefault="00D15627" w:rsidP="002217F7">
      <w:pPr>
        <w:rPr>
          <w:rFonts w:cs="Arial"/>
          <w:b/>
          <w:bCs/>
          <w:sz w:val="24"/>
        </w:rPr>
      </w:pPr>
      <w:r w:rsidRPr="00B94720">
        <w:rPr>
          <w:rFonts w:cs="Arial"/>
          <w:b/>
          <w:bCs/>
          <w:sz w:val="24"/>
        </w:rPr>
        <w:t>Dr Deirdre Hughes OBE</w:t>
      </w:r>
    </w:p>
    <w:p w14:paraId="735A86A6" w14:textId="71997582" w:rsidR="00CA35D9" w:rsidRPr="00B94720" w:rsidRDefault="00EE4DB5" w:rsidP="002217F7">
      <w:pPr>
        <w:rPr>
          <w:rFonts w:cs="Arial"/>
          <w:b/>
          <w:bCs/>
          <w:sz w:val="24"/>
        </w:rPr>
      </w:pPr>
      <w:r w:rsidRPr="00B94720">
        <w:rPr>
          <w:rFonts w:cs="Arial"/>
          <w:b/>
          <w:bCs/>
          <w:sz w:val="24"/>
        </w:rPr>
        <w:t>Chair</w:t>
      </w:r>
    </w:p>
    <w:p w14:paraId="72139E1C" w14:textId="273DF696" w:rsidR="00D15627" w:rsidRPr="00B94720" w:rsidRDefault="00D15627" w:rsidP="002217F7">
      <w:pPr>
        <w:rPr>
          <w:rFonts w:cs="Arial"/>
          <w:b/>
          <w:bCs/>
          <w:sz w:val="24"/>
        </w:rPr>
      </w:pPr>
      <w:r w:rsidRPr="00B94720">
        <w:rPr>
          <w:rFonts w:cs="Arial"/>
          <w:b/>
          <w:bCs/>
          <w:sz w:val="24"/>
        </w:rPr>
        <w:t>Review of the matrix Standard</w:t>
      </w:r>
    </w:p>
    <w:p w14:paraId="6712A638" w14:textId="77777777" w:rsidR="00F849A8" w:rsidRPr="00C36FBC" w:rsidRDefault="00F849A8" w:rsidP="002217F7">
      <w:pPr>
        <w:rPr>
          <w:rFonts w:cs="Arial"/>
        </w:rPr>
        <w:sectPr w:rsidR="00F849A8" w:rsidRPr="00C36FBC" w:rsidSect="001A6FC1">
          <w:pgSz w:w="11900" w:h="16840" w:code="9"/>
          <w:pgMar w:top="1134" w:right="1134" w:bottom="1134" w:left="1134" w:header="709" w:footer="709" w:gutter="0"/>
          <w:cols w:space="708"/>
          <w:titlePg/>
          <w:docGrid w:linePitch="360"/>
        </w:sectPr>
      </w:pPr>
    </w:p>
    <w:p w14:paraId="014A007F" w14:textId="74D70A81" w:rsidR="00313A0F" w:rsidRPr="000B550F" w:rsidRDefault="000D42C1" w:rsidP="000B550F">
      <w:pPr>
        <w:pStyle w:val="Heading1"/>
      </w:pPr>
      <w:bookmarkStart w:id="2" w:name="_Toc116456705"/>
      <w:bookmarkStart w:id="3" w:name="_Toc129688494"/>
      <w:r w:rsidRPr="000B550F">
        <w:lastRenderedPageBreak/>
        <w:t>Executive Summary</w:t>
      </w:r>
      <w:bookmarkEnd w:id="2"/>
      <w:bookmarkEnd w:id="3"/>
    </w:p>
    <w:p w14:paraId="66A5EDDB" w14:textId="77777777" w:rsidR="00694BEE" w:rsidRPr="00C36FBC" w:rsidRDefault="00694BEE" w:rsidP="002217F7"/>
    <w:p w14:paraId="4A36DF81" w14:textId="0483EE8C" w:rsidR="009843E9" w:rsidRPr="00B94720" w:rsidRDefault="00AB5516" w:rsidP="002217F7">
      <w:pPr>
        <w:rPr>
          <w:sz w:val="24"/>
        </w:rPr>
      </w:pPr>
      <w:r w:rsidRPr="00B94720">
        <w:rPr>
          <w:sz w:val="24"/>
        </w:rPr>
        <w:t xml:space="preserve">The </w:t>
      </w:r>
      <w:r w:rsidRPr="00B94720">
        <w:rPr>
          <w:b/>
          <w:bCs/>
          <w:sz w:val="24"/>
        </w:rPr>
        <w:t>matrix</w:t>
      </w:r>
      <w:r w:rsidRPr="00B94720">
        <w:rPr>
          <w:sz w:val="24"/>
        </w:rPr>
        <w:t xml:space="preserve"> Standard</w:t>
      </w:r>
      <w:r w:rsidR="007C3251" w:rsidRPr="00B94720">
        <w:rPr>
          <w:sz w:val="24"/>
        </w:rPr>
        <w:t xml:space="preserve"> (the Standard)</w:t>
      </w:r>
      <w:r w:rsidRPr="00B94720">
        <w:rPr>
          <w:sz w:val="24"/>
        </w:rPr>
        <w:t xml:space="preserve"> is the Department for Education</w:t>
      </w:r>
      <w:r w:rsidR="006531A9" w:rsidRPr="00B94720">
        <w:rPr>
          <w:sz w:val="24"/>
        </w:rPr>
        <w:t>’</w:t>
      </w:r>
      <w:r w:rsidRPr="00B94720">
        <w:rPr>
          <w:sz w:val="24"/>
        </w:rPr>
        <w:t>s</w:t>
      </w:r>
      <w:r w:rsidR="002C5036" w:rsidRPr="00B94720">
        <w:rPr>
          <w:sz w:val="24"/>
        </w:rPr>
        <w:t xml:space="preserve"> (DfE)</w:t>
      </w:r>
      <w:r w:rsidRPr="00B94720">
        <w:rPr>
          <w:sz w:val="24"/>
        </w:rPr>
        <w:t xml:space="preserve"> Standard for information, </w:t>
      </w:r>
      <w:proofErr w:type="gramStart"/>
      <w:r w:rsidRPr="00B94720">
        <w:rPr>
          <w:sz w:val="24"/>
        </w:rPr>
        <w:t>advice</w:t>
      </w:r>
      <w:proofErr w:type="gramEnd"/>
      <w:r w:rsidRPr="00B94720">
        <w:rPr>
          <w:sz w:val="24"/>
        </w:rPr>
        <w:t xml:space="preserve"> and gui</w:t>
      </w:r>
      <w:r w:rsidR="007D710F" w:rsidRPr="00B94720">
        <w:rPr>
          <w:sz w:val="24"/>
        </w:rPr>
        <w:t xml:space="preserve">dance services. The Standard </w:t>
      </w:r>
      <w:r w:rsidR="006531A9" w:rsidRPr="00B94720">
        <w:rPr>
          <w:sz w:val="24"/>
        </w:rPr>
        <w:t>assures</w:t>
      </w:r>
      <w:r w:rsidR="007D710F" w:rsidRPr="00B94720">
        <w:rPr>
          <w:sz w:val="24"/>
        </w:rPr>
        <w:t xml:space="preserve"> high quality service delivery in over 1</w:t>
      </w:r>
      <w:r w:rsidR="006531A9" w:rsidRPr="00B94720">
        <w:rPr>
          <w:sz w:val="24"/>
        </w:rPr>
        <w:t>,</w:t>
      </w:r>
      <w:r w:rsidR="007D710F" w:rsidRPr="00B94720">
        <w:rPr>
          <w:sz w:val="24"/>
        </w:rPr>
        <w:t xml:space="preserve">500 </w:t>
      </w:r>
      <w:r w:rsidR="002C5036" w:rsidRPr="00B94720">
        <w:rPr>
          <w:sz w:val="24"/>
        </w:rPr>
        <w:t xml:space="preserve">organisations many of </w:t>
      </w:r>
      <w:r w:rsidR="006531A9" w:rsidRPr="00B94720">
        <w:rPr>
          <w:sz w:val="24"/>
        </w:rPr>
        <w:t>which</w:t>
      </w:r>
      <w:r w:rsidR="002C5036" w:rsidRPr="00B94720">
        <w:rPr>
          <w:sz w:val="24"/>
        </w:rPr>
        <w:t xml:space="preserve"> hold </w:t>
      </w:r>
      <w:r w:rsidR="00A31EC5" w:rsidRPr="00B94720">
        <w:rPr>
          <w:sz w:val="24"/>
        </w:rPr>
        <w:t>Government Contracts to deliver services such as the National Careers Service,</w:t>
      </w:r>
      <w:r w:rsidR="00D84805" w:rsidRPr="00B94720">
        <w:rPr>
          <w:sz w:val="24"/>
        </w:rPr>
        <w:t xml:space="preserve"> Further Education</w:t>
      </w:r>
      <w:r w:rsidR="00AE1049" w:rsidRPr="00B94720">
        <w:rPr>
          <w:sz w:val="24"/>
        </w:rPr>
        <w:t xml:space="preserve"> and Adult Education</w:t>
      </w:r>
      <w:r w:rsidR="00FB2C0D" w:rsidRPr="00B94720">
        <w:rPr>
          <w:sz w:val="24"/>
        </w:rPr>
        <w:t>.</w:t>
      </w:r>
      <w:r w:rsidR="006531A9" w:rsidRPr="00B94720">
        <w:rPr>
          <w:sz w:val="24"/>
        </w:rPr>
        <w:t xml:space="preserve"> </w:t>
      </w:r>
      <w:r w:rsidR="009843E9" w:rsidRPr="00B94720">
        <w:rPr>
          <w:sz w:val="24"/>
        </w:rPr>
        <w:t>The Growth Company (GC) has been responsible for the management of the</w:t>
      </w:r>
      <w:r w:rsidR="009843E9" w:rsidRPr="00B94720">
        <w:rPr>
          <w:b/>
          <w:bCs/>
          <w:sz w:val="24"/>
        </w:rPr>
        <w:t xml:space="preserve"> </w:t>
      </w:r>
      <w:r w:rsidR="009843E9" w:rsidRPr="00B94720">
        <w:rPr>
          <w:sz w:val="24"/>
        </w:rPr>
        <w:t xml:space="preserve">Standard since early 2020. This responsibility included the remit to complete a </w:t>
      </w:r>
      <w:r w:rsidR="008A3EA2" w:rsidRPr="00B94720">
        <w:rPr>
          <w:sz w:val="24"/>
        </w:rPr>
        <w:t>R</w:t>
      </w:r>
      <w:r w:rsidR="009843E9" w:rsidRPr="00B94720">
        <w:rPr>
          <w:sz w:val="24"/>
        </w:rPr>
        <w:t xml:space="preserve">eview of the </w:t>
      </w:r>
      <w:r w:rsidR="008A3EA2" w:rsidRPr="00B94720">
        <w:rPr>
          <w:sz w:val="24"/>
        </w:rPr>
        <w:t>S</w:t>
      </w:r>
      <w:r w:rsidR="009843E9" w:rsidRPr="00B94720">
        <w:rPr>
          <w:sz w:val="24"/>
        </w:rPr>
        <w:t>tandard</w:t>
      </w:r>
      <w:r w:rsidR="006531A9" w:rsidRPr="00B94720">
        <w:rPr>
          <w:sz w:val="24"/>
        </w:rPr>
        <w:t xml:space="preserve">. </w:t>
      </w:r>
      <w:r w:rsidR="009843E9" w:rsidRPr="00B94720">
        <w:rPr>
          <w:sz w:val="24"/>
        </w:rPr>
        <w:t>The Standard was last reviewed in 2009</w:t>
      </w:r>
      <w:r w:rsidR="006E29CC" w:rsidRPr="00B94720">
        <w:rPr>
          <w:sz w:val="24"/>
        </w:rPr>
        <w:t>-</w:t>
      </w:r>
      <w:r w:rsidR="009843E9" w:rsidRPr="00B94720">
        <w:rPr>
          <w:sz w:val="24"/>
        </w:rPr>
        <w:t xml:space="preserve">10 and </w:t>
      </w:r>
      <w:r w:rsidR="3CC98F3D" w:rsidRPr="00B94720">
        <w:rPr>
          <w:sz w:val="24"/>
        </w:rPr>
        <w:t>the revised Standard was</w:t>
      </w:r>
      <w:r w:rsidR="009843E9" w:rsidRPr="00B94720">
        <w:rPr>
          <w:sz w:val="24"/>
        </w:rPr>
        <w:t xml:space="preserve"> launched in 2011 and </w:t>
      </w:r>
      <w:r w:rsidR="4D4D0D76" w:rsidRPr="00B94720">
        <w:rPr>
          <w:sz w:val="24"/>
        </w:rPr>
        <w:t>since then</w:t>
      </w:r>
      <w:r w:rsidR="009843E9" w:rsidRPr="00B94720">
        <w:rPr>
          <w:sz w:val="24"/>
        </w:rPr>
        <w:t xml:space="preserve"> there have been changes in society</w:t>
      </w:r>
      <w:r w:rsidR="008A3EA2" w:rsidRPr="00B94720">
        <w:rPr>
          <w:sz w:val="24"/>
        </w:rPr>
        <w:t xml:space="preserve">, employment, welfare, </w:t>
      </w:r>
      <w:r w:rsidR="009843E9" w:rsidRPr="00B94720">
        <w:rPr>
          <w:sz w:val="24"/>
        </w:rPr>
        <w:t xml:space="preserve">education and training which need to be incorporated and acknowledged. </w:t>
      </w:r>
    </w:p>
    <w:p w14:paraId="423F284C" w14:textId="77777777" w:rsidR="0001454C" w:rsidRPr="00B94720" w:rsidRDefault="0001454C" w:rsidP="002217F7">
      <w:pPr>
        <w:rPr>
          <w:rFonts w:cs="Arial"/>
          <w:sz w:val="24"/>
        </w:rPr>
      </w:pPr>
    </w:p>
    <w:p w14:paraId="38B2382A" w14:textId="24A908DC" w:rsidR="000E5CD4" w:rsidRPr="00B94720" w:rsidRDefault="00223115" w:rsidP="002217F7">
      <w:pPr>
        <w:rPr>
          <w:rFonts w:cs="Arial"/>
          <w:sz w:val="24"/>
        </w:rPr>
      </w:pPr>
      <w:r w:rsidRPr="00B94720">
        <w:rPr>
          <w:rFonts w:cs="Arial"/>
          <w:sz w:val="24"/>
        </w:rPr>
        <w:t>Th</w:t>
      </w:r>
      <w:r w:rsidR="00694BEE" w:rsidRPr="00B94720">
        <w:rPr>
          <w:rFonts w:cs="Arial"/>
          <w:sz w:val="24"/>
        </w:rPr>
        <w:t xml:space="preserve">is </w:t>
      </w:r>
      <w:r w:rsidRPr="00B94720">
        <w:rPr>
          <w:rFonts w:cs="Arial"/>
          <w:sz w:val="24"/>
        </w:rPr>
        <w:t>re</w:t>
      </w:r>
      <w:r w:rsidR="00AF2165" w:rsidRPr="00B94720">
        <w:rPr>
          <w:rFonts w:cs="Arial"/>
          <w:sz w:val="24"/>
        </w:rPr>
        <w:t xml:space="preserve">port highlights the background to the </w:t>
      </w:r>
      <w:r w:rsidR="008A3EA2" w:rsidRPr="00B94720">
        <w:rPr>
          <w:rFonts w:cs="Arial"/>
          <w:sz w:val="24"/>
        </w:rPr>
        <w:t>R</w:t>
      </w:r>
      <w:r w:rsidR="00586EC7" w:rsidRPr="00B94720">
        <w:rPr>
          <w:rFonts w:cs="Arial"/>
          <w:sz w:val="24"/>
        </w:rPr>
        <w:t>eview</w:t>
      </w:r>
      <w:r w:rsidR="55145DDB" w:rsidRPr="00B94720">
        <w:rPr>
          <w:rFonts w:cs="Arial"/>
          <w:sz w:val="24"/>
        </w:rPr>
        <w:t xml:space="preserve"> which took place between November 20 and </w:t>
      </w:r>
      <w:r w:rsidR="00B35BC2" w:rsidRPr="00B94720">
        <w:rPr>
          <w:rFonts w:cs="Arial"/>
          <w:sz w:val="24"/>
        </w:rPr>
        <w:t xml:space="preserve">October </w:t>
      </w:r>
      <w:r w:rsidR="641ABE7C" w:rsidRPr="00B94720">
        <w:rPr>
          <w:rFonts w:cs="Arial"/>
          <w:sz w:val="24"/>
        </w:rPr>
        <w:t xml:space="preserve">2022, </w:t>
      </w:r>
      <w:r w:rsidR="00A83AD5" w:rsidRPr="00B94720">
        <w:rPr>
          <w:rFonts w:cs="Arial"/>
          <w:sz w:val="24"/>
        </w:rPr>
        <w:t>which w</w:t>
      </w:r>
      <w:r w:rsidR="000D2326" w:rsidRPr="00B94720">
        <w:rPr>
          <w:rFonts w:cs="Arial"/>
          <w:sz w:val="24"/>
        </w:rPr>
        <w:t xml:space="preserve">as driven by a desire from all stakeholders including </w:t>
      </w:r>
      <w:r w:rsidR="00F42DBB" w:rsidRPr="00B94720">
        <w:rPr>
          <w:rFonts w:cs="Arial"/>
          <w:sz w:val="24"/>
        </w:rPr>
        <w:t>DfE</w:t>
      </w:r>
      <w:r w:rsidR="007A7E12" w:rsidRPr="00B94720">
        <w:rPr>
          <w:rFonts w:cs="Arial"/>
          <w:sz w:val="24"/>
        </w:rPr>
        <w:t xml:space="preserve"> to ensure that the Standard remains world-class</w:t>
      </w:r>
      <w:r w:rsidR="00062158" w:rsidRPr="00B94720">
        <w:rPr>
          <w:rFonts w:cs="Arial"/>
          <w:sz w:val="24"/>
        </w:rPr>
        <w:t xml:space="preserve"> in ensuring that people</w:t>
      </w:r>
      <w:r w:rsidR="00EB4FC3" w:rsidRPr="00B94720">
        <w:rPr>
          <w:rFonts w:cs="Arial"/>
          <w:sz w:val="24"/>
        </w:rPr>
        <w:t xml:space="preserve"> receive high quality information, advice and guidance</w:t>
      </w:r>
      <w:r w:rsidR="009B486B" w:rsidRPr="00B94720">
        <w:rPr>
          <w:rFonts w:cs="Arial"/>
          <w:sz w:val="24"/>
        </w:rPr>
        <w:t xml:space="preserve"> (IAG)</w:t>
      </w:r>
      <w:r w:rsidR="00CA2735" w:rsidRPr="00B94720">
        <w:rPr>
          <w:rFonts w:cs="Arial"/>
          <w:sz w:val="24"/>
        </w:rPr>
        <w:t>.</w:t>
      </w:r>
      <w:r w:rsidR="008A3EA2" w:rsidRPr="00B94720">
        <w:rPr>
          <w:rFonts w:cs="Arial"/>
          <w:sz w:val="24"/>
        </w:rPr>
        <w:t xml:space="preserve"> It describes the aims and objectives, the processes used during the Review and the arrangements for governance, as well as the outcomes of the Review.</w:t>
      </w:r>
    </w:p>
    <w:p w14:paraId="10697737" w14:textId="77777777" w:rsidR="008A3EA2" w:rsidRPr="00B94720" w:rsidRDefault="008A3EA2" w:rsidP="002217F7">
      <w:pPr>
        <w:rPr>
          <w:rFonts w:cs="Arial"/>
          <w:sz w:val="24"/>
        </w:rPr>
      </w:pPr>
    </w:p>
    <w:p w14:paraId="19714E09" w14:textId="38F5DDD3" w:rsidR="00462546" w:rsidRPr="00B94720" w:rsidRDefault="00A2214B" w:rsidP="002217F7">
      <w:pPr>
        <w:rPr>
          <w:rFonts w:cs="Arial"/>
          <w:sz w:val="24"/>
        </w:rPr>
      </w:pPr>
      <w:r w:rsidRPr="00B94720">
        <w:rPr>
          <w:rFonts w:cs="Arial"/>
          <w:sz w:val="24"/>
        </w:rPr>
        <w:t>The Standard</w:t>
      </w:r>
      <w:r w:rsidR="006D7D9A" w:rsidRPr="00B94720">
        <w:rPr>
          <w:rFonts w:cs="Arial"/>
          <w:sz w:val="24"/>
        </w:rPr>
        <w:t xml:space="preserve"> ensure</w:t>
      </w:r>
      <w:r w:rsidRPr="00B94720">
        <w:rPr>
          <w:rFonts w:cs="Arial"/>
          <w:sz w:val="24"/>
        </w:rPr>
        <w:t>s</w:t>
      </w:r>
      <w:r w:rsidR="006D7D9A" w:rsidRPr="00B94720">
        <w:rPr>
          <w:rFonts w:cs="Arial"/>
          <w:sz w:val="24"/>
        </w:rPr>
        <w:t xml:space="preserve"> </w:t>
      </w:r>
      <w:r w:rsidR="000660EE" w:rsidRPr="00B94720">
        <w:rPr>
          <w:rFonts w:cs="Arial"/>
          <w:sz w:val="24"/>
        </w:rPr>
        <w:t xml:space="preserve">organisations </w:t>
      </w:r>
      <w:r w:rsidR="00E57CF4" w:rsidRPr="00B94720">
        <w:rPr>
          <w:rFonts w:cs="Arial"/>
          <w:sz w:val="24"/>
        </w:rPr>
        <w:t>resources are</w:t>
      </w:r>
      <w:r w:rsidR="006D7D9A" w:rsidRPr="00B94720">
        <w:rPr>
          <w:rFonts w:cs="Arial"/>
          <w:sz w:val="24"/>
        </w:rPr>
        <w:t xml:space="preserve"> used </w:t>
      </w:r>
      <w:r w:rsidR="00FD21E9" w:rsidRPr="00B94720">
        <w:rPr>
          <w:rFonts w:cs="Arial"/>
          <w:sz w:val="24"/>
        </w:rPr>
        <w:t>effectively</w:t>
      </w:r>
      <w:r w:rsidR="006D7D9A" w:rsidRPr="00B94720">
        <w:rPr>
          <w:rFonts w:cs="Arial"/>
          <w:sz w:val="24"/>
        </w:rPr>
        <w:t xml:space="preserve"> </w:t>
      </w:r>
      <w:r w:rsidR="00FD21E9" w:rsidRPr="00B94720">
        <w:rPr>
          <w:rFonts w:cs="Arial"/>
          <w:sz w:val="24"/>
        </w:rPr>
        <w:t>to</w:t>
      </w:r>
      <w:r w:rsidRPr="00B94720">
        <w:rPr>
          <w:rFonts w:cs="Arial"/>
          <w:sz w:val="24"/>
        </w:rPr>
        <w:t xml:space="preserve"> support</w:t>
      </w:r>
      <w:r w:rsidR="006D7D9A" w:rsidRPr="00B94720">
        <w:rPr>
          <w:rFonts w:cs="Arial"/>
          <w:sz w:val="24"/>
        </w:rPr>
        <w:t xml:space="preserve"> people to make appropriate choices concerning their career, skills, </w:t>
      </w:r>
      <w:r w:rsidR="00E549DB" w:rsidRPr="00B94720">
        <w:rPr>
          <w:rFonts w:cs="Arial"/>
          <w:sz w:val="24"/>
        </w:rPr>
        <w:t xml:space="preserve">and </w:t>
      </w:r>
      <w:r w:rsidR="006D7D9A" w:rsidRPr="00B94720">
        <w:rPr>
          <w:rFonts w:cs="Arial"/>
          <w:sz w:val="24"/>
        </w:rPr>
        <w:t xml:space="preserve">future development and to encourage providers of IAG to </w:t>
      </w:r>
      <w:r w:rsidR="00D66E1B" w:rsidRPr="00B94720">
        <w:rPr>
          <w:rFonts w:cs="Arial"/>
          <w:sz w:val="24"/>
        </w:rPr>
        <w:t>benchmark themselves</w:t>
      </w:r>
      <w:r w:rsidR="0016548B" w:rsidRPr="00B94720">
        <w:rPr>
          <w:rFonts w:cs="Arial"/>
          <w:sz w:val="24"/>
        </w:rPr>
        <w:t xml:space="preserve">, and </w:t>
      </w:r>
      <w:r w:rsidR="005A2FA3" w:rsidRPr="00B94720">
        <w:rPr>
          <w:rFonts w:cs="Arial"/>
          <w:sz w:val="24"/>
        </w:rPr>
        <w:t>that an organisation continually looks to improve how they deliver their services</w:t>
      </w:r>
      <w:r w:rsidR="00EE0831" w:rsidRPr="00B94720">
        <w:rPr>
          <w:rFonts w:cs="Arial"/>
          <w:sz w:val="24"/>
        </w:rPr>
        <w:t xml:space="preserve">. </w:t>
      </w:r>
      <w:r w:rsidR="004A4F14" w:rsidRPr="00B94720">
        <w:rPr>
          <w:rFonts w:cs="Arial"/>
          <w:sz w:val="24"/>
        </w:rPr>
        <w:t xml:space="preserve">The current </w:t>
      </w:r>
      <w:r w:rsidR="004B1975" w:rsidRPr="00B94720">
        <w:rPr>
          <w:rFonts w:cs="Arial"/>
          <w:sz w:val="24"/>
        </w:rPr>
        <w:t xml:space="preserve">Standard </w:t>
      </w:r>
      <w:r w:rsidR="008053AD" w:rsidRPr="00B94720">
        <w:rPr>
          <w:rFonts w:cs="Arial"/>
          <w:sz w:val="24"/>
        </w:rPr>
        <w:t>is comprised of</w:t>
      </w:r>
      <w:r w:rsidR="004B1975" w:rsidRPr="00B94720">
        <w:rPr>
          <w:rFonts w:cs="Arial"/>
          <w:sz w:val="24"/>
        </w:rPr>
        <w:t xml:space="preserve"> four elements</w:t>
      </w:r>
      <w:r w:rsidR="00462546" w:rsidRPr="00B94720">
        <w:rPr>
          <w:rFonts w:cs="Arial"/>
          <w:sz w:val="24"/>
        </w:rPr>
        <w:t>:</w:t>
      </w:r>
    </w:p>
    <w:p w14:paraId="08DD0A65" w14:textId="77777777" w:rsidR="00462546" w:rsidRPr="00B94720" w:rsidRDefault="00462546" w:rsidP="00CA35D9">
      <w:pPr>
        <w:pStyle w:val="Number"/>
        <w:rPr>
          <w:sz w:val="24"/>
          <w:szCs w:val="24"/>
        </w:rPr>
      </w:pPr>
      <w:r w:rsidRPr="00B94720">
        <w:rPr>
          <w:sz w:val="24"/>
          <w:szCs w:val="24"/>
        </w:rPr>
        <w:t>Leadership and Management</w:t>
      </w:r>
    </w:p>
    <w:p w14:paraId="25CF7AF6" w14:textId="77777777" w:rsidR="003D5F12" w:rsidRPr="00B94720" w:rsidRDefault="003D5F12" w:rsidP="00CA35D9">
      <w:pPr>
        <w:pStyle w:val="Number"/>
        <w:rPr>
          <w:sz w:val="24"/>
          <w:szCs w:val="24"/>
        </w:rPr>
      </w:pPr>
      <w:r w:rsidRPr="00B94720">
        <w:rPr>
          <w:sz w:val="24"/>
          <w:szCs w:val="24"/>
        </w:rPr>
        <w:t>Resources</w:t>
      </w:r>
    </w:p>
    <w:p w14:paraId="652738AC" w14:textId="77777777" w:rsidR="003D5F12" w:rsidRPr="00B94720" w:rsidRDefault="003D5F12" w:rsidP="00CA35D9">
      <w:pPr>
        <w:pStyle w:val="Number"/>
        <w:rPr>
          <w:sz w:val="24"/>
          <w:szCs w:val="24"/>
        </w:rPr>
      </w:pPr>
      <w:r w:rsidRPr="00B94720">
        <w:rPr>
          <w:sz w:val="24"/>
          <w:szCs w:val="24"/>
        </w:rPr>
        <w:t>Service Delivery</w:t>
      </w:r>
    </w:p>
    <w:p w14:paraId="0F864D48" w14:textId="6AD31027" w:rsidR="003D5F12" w:rsidRPr="00B94720" w:rsidRDefault="003D5F12" w:rsidP="00CA35D9">
      <w:pPr>
        <w:pStyle w:val="Number"/>
        <w:rPr>
          <w:sz w:val="24"/>
          <w:szCs w:val="24"/>
        </w:rPr>
      </w:pPr>
      <w:r w:rsidRPr="00B94720">
        <w:rPr>
          <w:sz w:val="24"/>
          <w:szCs w:val="24"/>
        </w:rPr>
        <w:t>Continuous Quality Improvement</w:t>
      </w:r>
      <w:r w:rsidR="00B84CA5" w:rsidRPr="00B94720">
        <w:rPr>
          <w:sz w:val="24"/>
          <w:szCs w:val="24"/>
        </w:rPr>
        <w:t>.</w:t>
      </w:r>
    </w:p>
    <w:p w14:paraId="5EAADFCE" w14:textId="36FB0D5C" w:rsidR="00EE0831" w:rsidRPr="00B94720" w:rsidRDefault="00C1273A" w:rsidP="002B2636">
      <w:pPr>
        <w:rPr>
          <w:rFonts w:cs="Arial"/>
          <w:sz w:val="24"/>
        </w:rPr>
      </w:pPr>
      <w:r w:rsidRPr="00B94720">
        <w:rPr>
          <w:rFonts w:cs="Arial"/>
          <w:sz w:val="24"/>
        </w:rPr>
        <w:t xml:space="preserve">Each element contains assessment criteria, all of which </w:t>
      </w:r>
      <w:r w:rsidR="00022D13" w:rsidRPr="00B94720">
        <w:rPr>
          <w:rFonts w:cs="Arial"/>
          <w:sz w:val="24"/>
        </w:rPr>
        <w:t>must be met to achieve accreditation</w:t>
      </w:r>
      <w:r w:rsidR="00B84CA5" w:rsidRPr="00B94720">
        <w:rPr>
          <w:rFonts w:cs="Arial"/>
          <w:sz w:val="24"/>
        </w:rPr>
        <w:t>.</w:t>
      </w:r>
      <w:r w:rsidR="004F6B95" w:rsidRPr="00B94720">
        <w:rPr>
          <w:rFonts w:cs="Arial"/>
          <w:sz w:val="24"/>
        </w:rPr>
        <w:t xml:space="preserve"> The </w:t>
      </w:r>
      <w:r w:rsidR="001B4354" w:rsidRPr="00B94720">
        <w:rPr>
          <w:rFonts w:cs="Arial"/>
          <w:sz w:val="24"/>
        </w:rPr>
        <w:t>S</w:t>
      </w:r>
      <w:r w:rsidR="004F6B95" w:rsidRPr="00B94720">
        <w:rPr>
          <w:rFonts w:cs="Arial"/>
          <w:sz w:val="24"/>
        </w:rPr>
        <w:t xml:space="preserve">tandard along with guidance </w:t>
      </w:r>
      <w:r w:rsidR="006B3AC1" w:rsidRPr="00B94720">
        <w:rPr>
          <w:rFonts w:cs="Arial"/>
          <w:sz w:val="24"/>
        </w:rPr>
        <w:t xml:space="preserve">illustrates how the criteria can be applied in a range of </w:t>
      </w:r>
      <w:r w:rsidR="00F64482" w:rsidRPr="00B94720">
        <w:rPr>
          <w:rFonts w:cs="Arial"/>
          <w:sz w:val="24"/>
        </w:rPr>
        <w:t>settings</w:t>
      </w:r>
      <w:r w:rsidR="00670A11" w:rsidRPr="00B94720">
        <w:rPr>
          <w:rFonts w:cs="Arial"/>
          <w:sz w:val="24"/>
        </w:rPr>
        <w:t xml:space="preserve">. The </w:t>
      </w:r>
      <w:r w:rsidR="001B4354" w:rsidRPr="00B94720">
        <w:rPr>
          <w:rFonts w:cs="Arial"/>
          <w:sz w:val="24"/>
        </w:rPr>
        <w:t>S</w:t>
      </w:r>
      <w:r w:rsidR="00670A11" w:rsidRPr="00B94720">
        <w:rPr>
          <w:rFonts w:cs="Arial"/>
          <w:sz w:val="24"/>
        </w:rPr>
        <w:t xml:space="preserve">tandard is </w:t>
      </w:r>
      <w:r w:rsidR="00184C21" w:rsidRPr="00B94720">
        <w:rPr>
          <w:rFonts w:cs="Arial"/>
          <w:sz w:val="24"/>
        </w:rPr>
        <w:t>flexible. It recognises that while some organisations focus exclusively on I</w:t>
      </w:r>
      <w:r w:rsidR="00974059" w:rsidRPr="00B94720">
        <w:rPr>
          <w:rFonts w:cs="Arial"/>
          <w:sz w:val="24"/>
        </w:rPr>
        <w:t>AG provision</w:t>
      </w:r>
      <w:r w:rsidR="001026ED" w:rsidRPr="00B94720">
        <w:rPr>
          <w:rFonts w:cs="Arial"/>
          <w:sz w:val="24"/>
        </w:rPr>
        <w:t>, o</w:t>
      </w:r>
      <w:r w:rsidR="00974059" w:rsidRPr="00B94720">
        <w:rPr>
          <w:rFonts w:cs="Arial"/>
          <w:sz w:val="24"/>
        </w:rPr>
        <w:t xml:space="preserve">thers offer IAG as an integral feature of other services </w:t>
      </w:r>
      <w:r w:rsidR="001026ED" w:rsidRPr="00B94720">
        <w:rPr>
          <w:rFonts w:cs="Arial"/>
          <w:sz w:val="24"/>
        </w:rPr>
        <w:t>such as education</w:t>
      </w:r>
      <w:r w:rsidR="00EE0831" w:rsidRPr="00B94720">
        <w:rPr>
          <w:rFonts w:cs="Arial"/>
          <w:sz w:val="24"/>
        </w:rPr>
        <w:t>.</w:t>
      </w:r>
    </w:p>
    <w:p w14:paraId="4799BC61" w14:textId="77777777" w:rsidR="008053AD" w:rsidRPr="00B94720" w:rsidRDefault="008053AD" w:rsidP="002B2636">
      <w:pPr>
        <w:rPr>
          <w:rFonts w:cs="Arial"/>
          <w:sz w:val="24"/>
        </w:rPr>
      </w:pPr>
    </w:p>
    <w:p w14:paraId="66DB5AD8" w14:textId="28345B6F" w:rsidR="00190A8A" w:rsidRPr="00B94720" w:rsidRDefault="006E4D76" w:rsidP="002B2636">
      <w:pPr>
        <w:rPr>
          <w:rFonts w:cs="Arial"/>
          <w:sz w:val="24"/>
        </w:rPr>
      </w:pPr>
      <w:r w:rsidRPr="00B94720">
        <w:rPr>
          <w:rFonts w:cs="Arial"/>
          <w:sz w:val="24"/>
        </w:rPr>
        <w:t xml:space="preserve">The assessment process </w:t>
      </w:r>
      <w:r w:rsidR="00526C08" w:rsidRPr="00B94720">
        <w:rPr>
          <w:rFonts w:cs="Arial"/>
          <w:sz w:val="24"/>
        </w:rPr>
        <w:t>works by collecting primary evidence from people who are involved in IAG delivery</w:t>
      </w:r>
      <w:r w:rsidR="002502B1" w:rsidRPr="00B94720">
        <w:rPr>
          <w:rFonts w:cs="Arial"/>
          <w:sz w:val="24"/>
        </w:rPr>
        <w:t>,</w:t>
      </w:r>
      <w:r w:rsidR="00D340A1" w:rsidRPr="00B94720">
        <w:rPr>
          <w:rFonts w:cs="Arial"/>
          <w:sz w:val="24"/>
        </w:rPr>
        <w:t xml:space="preserve"> partner organisations</w:t>
      </w:r>
      <w:r w:rsidR="002502B1" w:rsidRPr="00B94720">
        <w:rPr>
          <w:rFonts w:cs="Arial"/>
          <w:sz w:val="24"/>
        </w:rPr>
        <w:t xml:space="preserve"> and </w:t>
      </w:r>
      <w:r w:rsidR="00DE5D3A" w:rsidRPr="00B94720">
        <w:rPr>
          <w:rFonts w:cs="Arial"/>
          <w:sz w:val="24"/>
        </w:rPr>
        <w:t>recipients of the service</w:t>
      </w:r>
      <w:r w:rsidR="00D340A1" w:rsidRPr="00B94720">
        <w:rPr>
          <w:rFonts w:cs="Arial"/>
          <w:sz w:val="24"/>
        </w:rPr>
        <w:t xml:space="preserve">. The </w:t>
      </w:r>
      <w:r w:rsidR="0027103E" w:rsidRPr="00B94720">
        <w:rPr>
          <w:rFonts w:cs="Arial"/>
          <w:sz w:val="24"/>
        </w:rPr>
        <w:t xml:space="preserve">assessor’s role is to </w:t>
      </w:r>
      <w:r w:rsidR="00E77EB6" w:rsidRPr="00B94720">
        <w:rPr>
          <w:rFonts w:cs="Arial"/>
          <w:sz w:val="24"/>
        </w:rPr>
        <w:t>judge</w:t>
      </w:r>
      <w:r w:rsidR="0027103E" w:rsidRPr="00B94720">
        <w:rPr>
          <w:rFonts w:cs="Arial"/>
          <w:sz w:val="24"/>
        </w:rPr>
        <w:t xml:space="preserve"> the effectiveness of processes used to support IAG delivery, including the impact </w:t>
      </w:r>
      <w:r w:rsidR="00B84CA5" w:rsidRPr="00B94720">
        <w:rPr>
          <w:rFonts w:cs="Arial"/>
          <w:sz w:val="24"/>
        </w:rPr>
        <w:t>of it up</w:t>
      </w:r>
      <w:r w:rsidR="0027103E" w:rsidRPr="00B94720">
        <w:rPr>
          <w:rFonts w:cs="Arial"/>
          <w:sz w:val="24"/>
        </w:rPr>
        <w:t xml:space="preserve">on </w:t>
      </w:r>
      <w:r w:rsidR="00E77EB6" w:rsidRPr="00B94720">
        <w:rPr>
          <w:rFonts w:cs="Arial"/>
          <w:sz w:val="24"/>
        </w:rPr>
        <w:t>recipients.</w:t>
      </w:r>
    </w:p>
    <w:p w14:paraId="6E1C37CC" w14:textId="77777777" w:rsidR="00190A8A" w:rsidRPr="00B94720" w:rsidRDefault="00190A8A" w:rsidP="002B2636">
      <w:pPr>
        <w:rPr>
          <w:rFonts w:cs="Arial"/>
          <w:sz w:val="24"/>
        </w:rPr>
      </w:pPr>
    </w:p>
    <w:p w14:paraId="21723085" w14:textId="77777777" w:rsidR="00B94720" w:rsidRDefault="00E87576" w:rsidP="002B2636">
      <w:pPr>
        <w:rPr>
          <w:rFonts w:cs="Arial"/>
          <w:sz w:val="24"/>
        </w:rPr>
      </w:pPr>
      <w:r w:rsidRPr="00B94720">
        <w:rPr>
          <w:rFonts w:cs="Arial"/>
          <w:sz w:val="24"/>
        </w:rPr>
        <w:t xml:space="preserve">As part of the </w:t>
      </w:r>
      <w:r w:rsidR="00B84CA5" w:rsidRPr="00B94720">
        <w:rPr>
          <w:rFonts w:cs="Arial"/>
          <w:sz w:val="24"/>
        </w:rPr>
        <w:t>R</w:t>
      </w:r>
      <w:r w:rsidRPr="00B94720">
        <w:rPr>
          <w:rFonts w:cs="Arial"/>
          <w:sz w:val="24"/>
        </w:rPr>
        <w:t>eview process</w:t>
      </w:r>
      <w:r w:rsidR="00B84CA5" w:rsidRPr="00B94720">
        <w:rPr>
          <w:rFonts w:cs="Arial"/>
          <w:sz w:val="24"/>
        </w:rPr>
        <w:t>,</w:t>
      </w:r>
      <w:r w:rsidRPr="00B94720">
        <w:rPr>
          <w:rFonts w:cs="Arial"/>
          <w:sz w:val="24"/>
        </w:rPr>
        <w:t xml:space="preserve"> e</w:t>
      </w:r>
      <w:r w:rsidR="000E5CD4" w:rsidRPr="00B94720">
        <w:rPr>
          <w:rFonts w:cs="Arial"/>
          <w:sz w:val="24"/>
        </w:rPr>
        <w:t xml:space="preserve">xisting </w:t>
      </w:r>
      <w:r w:rsidR="00F716A9" w:rsidRPr="00B94720">
        <w:rPr>
          <w:rFonts w:cs="Arial"/>
          <w:sz w:val="24"/>
        </w:rPr>
        <w:t>best</w:t>
      </w:r>
      <w:r w:rsidR="000E5CD4" w:rsidRPr="00B94720">
        <w:rPr>
          <w:rFonts w:cs="Arial"/>
          <w:sz w:val="24"/>
        </w:rPr>
        <w:t xml:space="preserve"> practice</w:t>
      </w:r>
      <w:r w:rsidR="00F716A9" w:rsidRPr="00B94720">
        <w:rPr>
          <w:rFonts w:cs="Arial"/>
          <w:sz w:val="24"/>
        </w:rPr>
        <w:t xml:space="preserve"> was </w:t>
      </w:r>
      <w:r w:rsidR="00A3595E" w:rsidRPr="00B94720">
        <w:rPr>
          <w:rFonts w:cs="Arial"/>
          <w:sz w:val="24"/>
        </w:rPr>
        <w:t xml:space="preserve">identified and </w:t>
      </w:r>
      <w:r w:rsidR="00F716A9" w:rsidRPr="00B94720">
        <w:rPr>
          <w:rFonts w:cs="Arial"/>
          <w:sz w:val="24"/>
        </w:rPr>
        <w:t xml:space="preserve">transferred from the </w:t>
      </w:r>
      <w:r w:rsidR="00042133" w:rsidRPr="00B94720">
        <w:rPr>
          <w:rFonts w:cs="Arial"/>
          <w:sz w:val="24"/>
        </w:rPr>
        <w:t>current</w:t>
      </w:r>
      <w:r w:rsidR="006D549E" w:rsidRPr="00B94720">
        <w:rPr>
          <w:rFonts w:cs="Arial"/>
          <w:sz w:val="24"/>
        </w:rPr>
        <w:t xml:space="preserve"> version of the Standard </w:t>
      </w:r>
      <w:r w:rsidR="00DD1291" w:rsidRPr="00B94720">
        <w:rPr>
          <w:rFonts w:cs="Arial"/>
          <w:sz w:val="24"/>
        </w:rPr>
        <w:t>into a</w:t>
      </w:r>
      <w:r w:rsidR="001D6A65" w:rsidRPr="00B94720">
        <w:rPr>
          <w:rFonts w:cs="Arial"/>
          <w:sz w:val="24"/>
        </w:rPr>
        <w:t xml:space="preserve"> new</w:t>
      </w:r>
      <w:r w:rsidR="00DD1291" w:rsidRPr="00B94720">
        <w:rPr>
          <w:rFonts w:cs="Arial"/>
          <w:sz w:val="24"/>
        </w:rPr>
        <w:t xml:space="preserve"> updated </w:t>
      </w:r>
      <w:r w:rsidR="001D6A65" w:rsidRPr="00B94720">
        <w:rPr>
          <w:rFonts w:cs="Arial"/>
          <w:sz w:val="24"/>
        </w:rPr>
        <w:t>structure which better reflect</w:t>
      </w:r>
      <w:r w:rsidR="00A3595E" w:rsidRPr="00B94720">
        <w:rPr>
          <w:rFonts w:cs="Arial"/>
          <w:sz w:val="24"/>
        </w:rPr>
        <w:t>s</w:t>
      </w:r>
      <w:r w:rsidR="001D6A65" w:rsidRPr="00B94720">
        <w:rPr>
          <w:rFonts w:cs="Arial"/>
          <w:sz w:val="24"/>
        </w:rPr>
        <w:t xml:space="preserve"> the </w:t>
      </w:r>
      <w:r w:rsidR="00A3595E" w:rsidRPr="00B94720">
        <w:rPr>
          <w:rFonts w:cs="Arial"/>
          <w:sz w:val="24"/>
        </w:rPr>
        <w:t>‘</w:t>
      </w:r>
      <w:r w:rsidR="001D6A65" w:rsidRPr="00B94720">
        <w:rPr>
          <w:rFonts w:cs="Arial"/>
          <w:sz w:val="24"/>
        </w:rPr>
        <w:t>plan, do, review</w:t>
      </w:r>
      <w:r w:rsidR="00A3595E" w:rsidRPr="00B94720">
        <w:rPr>
          <w:rFonts w:cs="Arial"/>
          <w:sz w:val="24"/>
        </w:rPr>
        <w:t>’</w:t>
      </w:r>
      <w:r w:rsidR="001D6A65" w:rsidRPr="00B94720">
        <w:rPr>
          <w:rFonts w:cs="Arial"/>
          <w:sz w:val="24"/>
        </w:rPr>
        <w:t xml:space="preserve"> approach </w:t>
      </w:r>
      <w:r w:rsidR="00A3595E" w:rsidRPr="00B94720">
        <w:rPr>
          <w:rFonts w:cs="Arial"/>
          <w:sz w:val="24"/>
        </w:rPr>
        <w:t>recognised</w:t>
      </w:r>
      <w:r w:rsidR="001D6A65" w:rsidRPr="00B94720">
        <w:rPr>
          <w:rFonts w:cs="Arial"/>
          <w:sz w:val="24"/>
        </w:rPr>
        <w:t xml:space="preserve"> by other frameworks</w:t>
      </w:r>
      <w:r w:rsidR="003D6DE0" w:rsidRPr="00B94720">
        <w:rPr>
          <w:rFonts w:cs="Arial"/>
          <w:sz w:val="24"/>
        </w:rPr>
        <w:t>.</w:t>
      </w:r>
      <w:r w:rsidR="001D6A65" w:rsidRPr="00B94720">
        <w:rPr>
          <w:rFonts w:cs="Arial"/>
          <w:sz w:val="24"/>
        </w:rPr>
        <w:t xml:space="preserve"> </w:t>
      </w:r>
    </w:p>
    <w:p w14:paraId="30ACABC5" w14:textId="77777777" w:rsidR="00B94720" w:rsidRDefault="00B94720">
      <w:pPr>
        <w:jc w:val="left"/>
        <w:rPr>
          <w:rFonts w:cs="Arial"/>
          <w:sz w:val="24"/>
        </w:rPr>
      </w:pPr>
      <w:r>
        <w:rPr>
          <w:rFonts w:cs="Arial"/>
          <w:sz w:val="24"/>
        </w:rPr>
        <w:br w:type="page"/>
      </w:r>
    </w:p>
    <w:p w14:paraId="67736532" w14:textId="34BC238D" w:rsidR="002B2636" w:rsidRPr="00B94720" w:rsidRDefault="00B333CE" w:rsidP="002B2636">
      <w:pPr>
        <w:rPr>
          <w:rFonts w:cs="Arial"/>
          <w:sz w:val="24"/>
        </w:rPr>
      </w:pPr>
      <w:r w:rsidRPr="00B94720">
        <w:rPr>
          <w:rFonts w:cs="Arial"/>
          <w:sz w:val="24"/>
        </w:rPr>
        <w:lastRenderedPageBreak/>
        <w:t>The structure</w:t>
      </w:r>
      <w:r w:rsidR="00A3595E" w:rsidRPr="00B94720">
        <w:rPr>
          <w:rFonts w:cs="Arial"/>
          <w:sz w:val="24"/>
        </w:rPr>
        <w:t xml:space="preserve"> of the revised version of the Standard</w:t>
      </w:r>
      <w:r w:rsidRPr="00B94720">
        <w:rPr>
          <w:rFonts w:cs="Arial"/>
          <w:sz w:val="24"/>
        </w:rPr>
        <w:t xml:space="preserve"> </w:t>
      </w:r>
      <w:r w:rsidR="00405381" w:rsidRPr="00B94720">
        <w:rPr>
          <w:rFonts w:cs="Arial"/>
          <w:sz w:val="24"/>
        </w:rPr>
        <w:t xml:space="preserve">covers the following </w:t>
      </w:r>
      <w:r w:rsidR="00A3595E" w:rsidRPr="00B94720">
        <w:rPr>
          <w:rFonts w:cs="Arial"/>
          <w:sz w:val="24"/>
        </w:rPr>
        <w:t>seven</w:t>
      </w:r>
      <w:r w:rsidR="00405381" w:rsidRPr="00B94720">
        <w:rPr>
          <w:rFonts w:cs="Arial"/>
          <w:sz w:val="24"/>
        </w:rPr>
        <w:t xml:space="preserve"> elements</w:t>
      </w:r>
      <w:r w:rsidR="00053EF9" w:rsidRPr="00B94720">
        <w:rPr>
          <w:rFonts w:cs="Arial"/>
          <w:sz w:val="24"/>
        </w:rPr>
        <w:t xml:space="preserve"> which </w:t>
      </w:r>
      <w:r w:rsidR="00801A56" w:rsidRPr="00B94720">
        <w:rPr>
          <w:rFonts w:cs="Arial"/>
          <w:sz w:val="24"/>
        </w:rPr>
        <w:t>incorporated</w:t>
      </w:r>
      <w:r w:rsidR="00053EF9" w:rsidRPr="00B94720">
        <w:rPr>
          <w:rFonts w:cs="Arial"/>
          <w:sz w:val="24"/>
        </w:rPr>
        <w:t xml:space="preserve"> leadership and management</w:t>
      </w:r>
      <w:r w:rsidR="00801A56" w:rsidRPr="00B94720">
        <w:rPr>
          <w:rFonts w:cs="Arial"/>
          <w:sz w:val="24"/>
        </w:rPr>
        <w:t xml:space="preserve"> throughout</w:t>
      </w:r>
      <w:r w:rsidR="00A3595E" w:rsidRPr="00B94720">
        <w:rPr>
          <w:rFonts w:cs="Arial"/>
          <w:sz w:val="24"/>
        </w:rPr>
        <w:t>:</w:t>
      </w:r>
      <w:bookmarkStart w:id="4" w:name="_Hlk117258762"/>
    </w:p>
    <w:p w14:paraId="0B9F7C60" w14:textId="1D6FDCB9" w:rsidR="00281BA8" w:rsidRPr="00B94720" w:rsidRDefault="00281BA8" w:rsidP="00CA35D9">
      <w:pPr>
        <w:pStyle w:val="Number"/>
        <w:numPr>
          <w:ilvl w:val="0"/>
          <w:numId w:val="72"/>
        </w:numPr>
        <w:rPr>
          <w:sz w:val="24"/>
          <w:szCs w:val="24"/>
        </w:rPr>
      </w:pPr>
      <w:r w:rsidRPr="00B94720">
        <w:rPr>
          <w:sz w:val="24"/>
          <w:szCs w:val="24"/>
        </w:rPr>
        <w:t>Purpose</w:t>
      </w:r>
    </w:p>
    <w:p w14:paraId="000C8CE8" w14:textId="6C36B8E0" w:rsidR="00281BA8" w:rsidRPr="00B94720" w:rsidRDefault="00281BA8" w:rsidP="00CA35D9">
      <w:pPr>
        <w:pStyle w:val="Number"/>
        <w:rPr>
          <w:sz w:val="24"/>
          <w:szCs w:val="24"/>
        </w:rPr>
      </w:pPr>
      <w:r w:rsidRPr="00B94720">
        <w:rPr>
          <w:sz w:val="24"/>
          <w:szCs w:val="24"/>
        </w:rPr>
        <w:t>Resources</w:t>
      </w:r>
    </w:p>
    <w:p w14:paraId="04ECF7EF" w14:textId="306F2032" w:rsidR="00281BA8" w:rsidRPr="00B94720" w:rsidRDefault="00281BA8" w:rsidP="00CA35D9">
      <w:pPr>
        <w:pStyle w:val="Number"/>
        <w:rPr>
          <w:sz w:val="24"/>
          <w:szCs w:val="24"/>
        </w:rPr>
      </w:pPr>
      <w:r w:rsidRPr="00B94720">
        <w:rPr>
          <w:sz w:val="24"/>
          <w:szCs w:val="24"/>
        </w:rPr>
        <w:t>Offer</w:t>
      </w:r>
    </w:p>
    <w:p w14:paraId="63A4069C" w14:textId="39B9F48B" w:rsidR="00281BA8" w:rsidRPr="00B94720" w:rsidRDefault="00281BA8" w:rsidP="00CA35D9">
      <w:pPr>
        <w:pStyle w:val="Number"/>
        <w:rPr>
          <w:sz w:val="24"/>
          <w:szCs w:val="24"/>
        </w:rPr>
      </w:pPr>
      <w:r w:rsidRPr="00B94720">
        <w:rPr>
          <w:sz w:val="24"/>
          <w:szCs w:val="24"/>
        </w:rPr>
        <w:t>Delivery</w:t>
      </w:r>
    </w:p>
    <w:p w14:paraId="1B35229C" w14:textId="26748F59" w:rsidR="00281BA8" w:rsidRPr="00B94720" w:rsidRDefault="00281BA8" w:rsidP="00CA35D9">
      <w:pPr>
        <w:pStyle w:val="Number"/>
        <w:rPr>
          <w:sz w:val="24"/>
          <w:szCs w:val="24"/>
        </w:rPr>
      </w:pPr>
      <w:r w:rsidRPr="00B94720">
        <w:rPr>
          <w:sz w:val="24"/>
          <w:szCs w:val="24"/>
        </w:rPr>
        <w:t>Outcomes</w:t>
      </w:r>
    </w:p>
    <w:p w14:paraId="436CE795" w14:textId="477B5229" w:rsidR="00281BA8" w:rsidRPr="00B94720" w:rsidRDefault="00281BA8" w:rsidP="00CA35D9">
      <w:pPr>
        <w:pStyle w:val="Number"/>
        <w:rPr>
          <w:sz w:val="24"/>
          <w:szCs w:val="24"/>
        </w:rPr>
      </w:pPr>
      <w:r w:rsidRPr="00B94720">
        <w:rPr>
          <w:sz w:val="24"/>
          <w:szCs w:val="24"/>
        </w:rPr>
        <w:t>Impact</w:t>
      </w:r>
    </w:p>
    <w:p w14:paraId="1D823610" w14:textId="65B1FD7B" w:rsidR="00281BA8" w:rsidRPr="00B94720" w:rsidRDefault="00281BA8" w:rsidP="00CA35D9">
      <w:pPr>
        <w:pStyle w:val="Number"/>
        <w:rPr>
          <w:sz w:val="24"/>
          <w:szCs w:val="24"/>
        </w:rPr>
      </w:pPr>
      <w:r w:rsidRPr="00B94720">
        <w:rPr>
          <w:sz w:val="24"/>
          <w:szCs w:val="24"/>
        </w:rPr>
        <w:t>Continuous Improvement</w:t>
      </w:r>
    </w:p>
    <w:bookmarkEnd w:id="4"/>
    <w:p w14:paraId="4E8CC483" w14:textId="7438505E" w:rsidR="00BE7B5A" w:rsidRPr="00B94720" w:rsidRDefault="003F7600" w:rsidP="002217F7">
      <w:pPr>
        <w:rPr>
          <w:rFonts w:cs="Arial"/>
          <w:sz w:val="24"/>
        </w:rPr>
      </w:pPr>
      <w:r w:rsidRPr="00B94720">
        <w:rPr>
          <w:rFonts w:cs="Arial"/>
          <w:b/>
          <w:bCs/>
          <w:sz w:val="24"/>
        </w:rPr>
        <w:t>K</w:t>
      </w:r>
      <w:r w:rsidR="004B762D" w:rsidRPr="00B94720">
        <w:rPr>
          <w:rFonts w:cs="Arial"/>
          <w:b/>
          <w:bCs/>
          <w:sz w:val="24"/>
        </w:rPr>
        <w:t xml:space="preserve">ey </w:t>
      </w:r>
      <w:r w:rsidR="00A3595E" w:rsidRPr="00B94720">
        <w:rPr>
          <w:rFonts w:cs="Arial"/>
          <w:b/>
          <w:bCs/>
          <w:sz w:val="24"/>
        </w:rPr>
        <w:t>c</w:t>
      </w:r>
      <w:r w:rsidR="004B762D" w:rsidRPr="00B94720">
        <w:rPr>
          <w:rFonts w:cs="Arial"/>
          <w:b/>
          <w:bCs/>
          <w:sz w:val="24"/>
        </w:rPr>
        <w:t xml:space="preserve">hanges </w:t>
      </w:r>
      <w:r w:rsidR="00A3595E" w:rsidRPr="00B94720">
        <w:rPr>
          <w:rFonts w:cs="Arial"/>
          <w:sz w:val="24"/>
        </w:rPr>
        <w:t>in the revised version are</w:t>
      </w:r>
      <w:r w:rsidR="001F63C6" w:rsidRPr="00B94720">
        <w:rPr>
          <w:rFonts w:cs="Arial"/>
          <w:sz w:val="24"/>
        </w:rPr>
        <w:t>:</w:t>
      </w:r>
    </w:p>
    <w:p w14:paraId="24CEAB7C" w14:textId="70F0F8AF" w:rsidR="003F7600" w:rsidRPr="00B94720" w:rsidRDefault="003F7600" w:rsidP="00CA35D9">
      <w:pPr>
        <w:pStyle w:val="Bullet"/>
        <w:rPr>
          <w:sz w:val="24"/>
          <w:szCs w:val="24"/>
        </w:rPr>
      </w:pPr>
      <w:r w:rsidRPr="00B94720">
        <w:rPr>
          <w:sz w:val="24"/>
          <w:szCs w:val="24"/>
        </w:rPr>
        <w:t xml:space="preserve">The Standard </w:t>
      </w:r>
      <w:r w:rsidR="00A3595E" w:rsidRPr="00B94720">
        <w:rPr>
          <w:sz w:val="24"/>
          <w:szCs w:val="24"/>
        </w:rPr>
        <w:t>h</w:t>
      </w:r>
      <w:r w:rsidRPr="00B94720">
        <w:rPr>
          <w:sz w:val="24"/>
          <w:szCs w:val="24"/>
        </w:rPr>
        <w:t xml:space="preserve">as </w:t>
      </w:r>
      <w:r w:rsidR="00A3595E" w:rsidRPr="00B94720">
        <w:rPr>
          <w:sz w:val="24"/>
          <w:szCs w:val="24"/>
        </w:rPr>
        <w:t xml:space="preserve">been </w:t>
      </w:r>
      <w:r w:rsidRPr="00B94720">
        <w:rPr>
          <w:sz w:val="24"/>
          <w:szCs w:val="24"/>
        </w:rPr>
        <w:t xml:space="preserve">aligned </w:t>
      </w:r>
      <w:r w:rsidR="00A3595E" w:rsidRPr="00B94720">
        <w:rPr>
          <w:sz w:val="24"/>
          <w:szCs w:val="24"/>
        </w:rPr>
        <w:t>with</w:t>
      </w:r>
      <w:r w:rsidRPr="00B94720">
        <w:rPr>
          <w:sz w:val="24"/>
          <w:szCs w:val="24"/>
        </w:rPr>
        <w:t xml:space="preserve"> other frameworks such as the Gatsby Benchmarks and Ofsted</w:t>
      </w:r>
      <w:r w:rsidR="005E28F5" w:rsidRPr="00B94720">
        <w:rPr>
          <w:sz w:val="24"/>
          <w:szCs w:val="24"/>
        </w:rPr>
        <w:t xml:space="preserve"> Education</w:t>
      </w:r>
      <w:r w:rsidR="00A3595E" w:rsidRPr="00B94720">
        <w:rPr>
          <w:sz w:val="24"/>
          <w:szCs w:val="24"/>
        </w:rPr>
        <w:t xml:space="preserve"> Inspection Framework</w:t>
      </w:r>
      <w:r w:rsidR="00D4452C" w:rsidRPr="00B94720">
        <w:rPr>
          <w:sz w:val="24"/>
          <w:szCs w:val="24"/>
        </w:rPr>
        <w:t>.</w:t>
      </w:r>
    </w:p>
    <w:p w14:paraId="1E2875E2" w14:textId="32591A3B" w:rsidR="00E22384" w:rsidRPr="00B94720" w:rsidRDefault="00E22384" w:rsidP="00CA35D9">
      <w:pPr>
        <w:pStyle w:val="Bullet"/>
        <w:rPr>
          <w:sz w:val="24"/>
          <w:szCs w:val="24"/>
        </w:rPr>
      </w:pPr>
      <w:r w:rsidRPr="00B94720">
        <w:rPr>
          <w:sz w:val="24"/>
          <w:szCs w:val="24"/>
        </w:rPr>
        <w:t xml:space="preserve">Duplication, </w:t>
      </w:r>
      <w:proofErr w:type="gramStart"/>
      <w:r w:rsidRPr="00B94720">
        <w:rPr>
          <w:sz w:val="24"/>
          <w:szCs w:val="24"/>
        </w:rPr>
        <w:t>repetition</w:t>
      </w:r>
      <w:proofErr w:type="gramEnd"/>
      <w:r w:rsidRPr="00B94720">
        <w:rPr>
          <w:sz w:val="24"/>
          <w:szCs w:val="24"/>
        </w:rPr>
        <w:t xml:space="preserve"> and overlaps </w:t>
      </w:r>
      <w:r w:rsidR="00A3595E" w:rsidRPr="00B94720">
        <w:rPr>
          <w:sz w:val="24"/>
          <w:szCs w:val="24"/>
        </w:rPr>
        <w:t>have been</w:t>
      </w:r>
      <w:r w:rsidR="000E06FC" w:rsidRPr="00B94720">
        <w:rPr>
          <w:sz w:val="24"/>
          <w:szCs w:val="24"/>
        </w:rPr>
        <w:t xml:space="preserve"> removed</w:t>
      </w:r>
      <w:r w:rsidR="00D4452C" w:rsidRPr="00B94720">
        <w:rPr>
          <w:sz w:val="24"/>
          <w:szCs w:val="24"/>
        </w:rPr>
        <w:t>.</w:t>
      </w:r>
    </w:p>
    <w:p w14:paraId="113F204B" w14:textId="780322E6" w:rsidR="00E22384" w:rsidRPr="00B94720" w:rsidRDefault="00E22384" w:rsidP="00CA35D9">
      <w:pPr>
        <w:pStyle w:val="Bullet"/>
        <w:rPr>
          <w:sz w:val="24"/>
          <w:szCs w:val="24"/>
        </w:rPr>
      </w:pPr>
      <w:r w:rsidRPr="00B94720">
        <w:rPr>
          <w:sz w:val="24"/>
          <w:szCs w:val="24"/>
        </w:rPr>
        <w:t xml:space="preserve">Linkages between the elements and the </w:t>
      </w:r>
      <w:r w:rsidR="004C7CCE" w:rsidRPr="00B94720">
        <w:rPr>
          <w:sz w:val="24"/>
          <w:szCs w:val="24"/>
        </w:rPr>
        <w:t xml:space="preserve">assessment </w:t>
      </w:r>
      <w:r w:rsidRPr="00B94720">
        <w:rPr>
          <w:sz w:val="24"/>
          <w:szCs w:val="24"/>
        </w:rPr>
        <w:t xml:space="preserve">criteria </w:t>
      </w:r>
      <w:r w:rsidR="00DE5D3A" w:rsidRPr="00B94720">
        <w:rPr>
          <w:sz w:val="24"/>
          <w:szCs w:val="24"/>
        </w:rPr>
        <w:t>have been</w:t>
      </w:r>
      <w:r w:rsidR="00F64A85" w:rsidRPr="00B94720">
        <w:rPr>
          <w:sz w:val="24"/>
          <w:szCs w:val="24"/>
        </w:rPr>
        <w:t xml:space="preserve"> clarified</w:t>
      </w:r>
      <w:r w:rsidR="00D4452C" w:rsidRPr="00B94720">
        <w:rPr>
          <w:sz w:val="24"/>
          <w:szCs w:val="24"/>
        </w:rPr>
        <w:t>.</w:t>
      </w:r>
    </w:p>
    <w:p w14:paraId="4F732E63" w14:textId="5F3553CF" w:rsidR="00F64A85" w:rsidRPr="00B94720" w:rsidRDefault="00F64A85" w:rsidP="00CA35D9">
      <w:pPr>
        <w:pStyle w:val="Bullet"/>
        <w:rPr>
          <w:sz w:val="24"/>
          <w:szCs w:val="24"/>
        </w:rPr>
      </w:pPr>
      <w:r w:rsidRPr="00B94720">
        <w:rPr>
          <w:sz w:val="24"/>
          <w:szCs w:val="24"/>
        </w:rPr>
        <w:t>Leadership</w:t>
      </w:r>
      <w:r w:rsidR="00431EEA" w:rsidRPr="00B94720">
        <w:rPr>
          <w:sz w:val="24"/>
          <w:szCs w:val="24"/>
        </w:rPr>
        <w:t>,</w:t>
      </w:r>
      <w:r w:rsidR="00DF6D87" w:rsidRPr="00B94720">
        <w:rPr>
          <w:sz w:val="24"/>
          <w:szCs w:val="24"/>
        </w:rPr>
        <w:t xml:space="preserve"> which was an element</w:t>
      </w:r>
      <w:r w:rsidR="00431EEA" w:rsidRPr="00B94720">
        <w:rPr>
          <w:sz w:val="24"/>
          <w:szCs w:val="24"/>
        </w:rPr>
        <w:t>,</w:t>
      </w:r>
      <w:r w:rsidRPr="00B94720">
        <w:rPr>
          <w:sz w:val="24"/>
          <w:szCs w:val="24"/>
        </w:rPr>
        <w:t xml:space="preserve"> </w:t>
      </w:r>
      <w:r w:rsidR="00A3595E" w:rsidRPr="00B94720">
        <w:rPr>
          <w:sz w:val="24"/>
          <w:szCs w:val="24"/>
        </w:rPr>
        <w:t>i</w:t>
      </w:r>
      <w:r w:rsidRPr="00B94720">
        <w:rPr>
          <w:sz w:val="24"/>
          <w:szCs w:val="24"/>
        </w:rPr>
        <w:t>s</w:t>
      </w:r>
      <w:r w:rsidR="00DF6D87" w:rsidRPr="00B94720">
        <w:rPr>
          <w:sz w:val="24"/>
          <w:szCs w:val="24"/>
        </w:rPr>
        <w:t xml:space="preserve"> now</w:t>
      </w:r>
      <w:r w:rsidRPr="00B94720">
        <w:rPr>
          <w:sz w:val="24"/>
          <w:szCs w:val="24"/>
        </w:rPr>
        <w:t xml:space="preserve"> embedded throughout</w:t>
      </w:r>
      <w:r w:rsidR="00FE7D07" w:rsidRPr="00B94720">
        <w:rPr>
          <w:sz w:val="24"/>
          <w:szCs w:val="24"/>
        </w:rPr>
        <w:t xml:space="preserve"> the Standard</w:t>
      </w:r>
      <w:r w:rsidR="00D4452C" w:rsidRPr="00B94720">
        <w:rPr>
          <w:sz w:val="24"/>
          <w:szCs w:val="24"/>
        </w:rPr>
        <w:t>.</w:t>
      </w:r>
    </w:p>
    <w:p w14:paraId="3DC691C5" w14:textId="744901D6" w:rsidR="00E22384" w:rsidRPr="00B94720" w:rsidRDefault="00323A4A" w:rsidP="00CA35D9">
      <w:pPr>
        <w:pStyle w:val="Bullet"/>
        <w:rPr>
          <w:sz w:val="24"/>
          <w:szCs w:val="24"/>
        </w:rPr>
      </w:pPr>
      <w:r w:rsidRPr="00B94720">
        <w:rPr>
          <w:sz w:val="24"/>
          <w:szCs w:val="24"/>
        </w:rPr>
        <w:t xml:space="preserve">Since the </w:t>
      </w:r>
      <w:r w:rsidR="00432E1A" w:rsidRPr="00B94720">
        <w:rPr>
          <w:sz w:val="24"/>
          <w:szCs w:val="24"/>
        </w:rPr>
        <w:t>Standard</w:t>
      </w:r>
      <w:r w:rsidRPr="00B94720">
        <w:rPr>
          <w:sz w:val="24"/>
          <w:szCs w:val="24"/>
        </w:rPr>
        <w:t xml:space="preserve"> was last reviewed </w:t>
      </w:r>
      <w:r w:rsidR="00432E1A" w:rsidRPr="00B94720">
        <w:rPr>
          <w:sz w:val="24"/>
          <w:szCs w:val="24"/>
        </w:rPr>
        <w:t>there has been a g</w:t>
      </w:r>
      <w:r w:rsidR="00E22384" w:rsidRPr="00B94720">
        <w:rPr>
          <w:sz w:val="24"/>
          <w:szCs w:val="24"/>
        </w:rPr>
        <w:t xml:space="preserve">reater </w:t>
      </w:r>
      <w:r w:rsidR="00FC388A" w:rsidRPr="00B94720">
        <w:rPr>
          <w:sz w:val="24"/>
          <w:szCs w:val="24"/>
        </w:rPr>
        <w:t>recognition</w:t>
      </w:r>
      <w:r w:rsidR="00E22384" w:rsidRPr="00B94720">
        <w:rPr>
          <w:sz w:val="24"/>
          <w:szCs w:val="24"/>
        </w:rPr>
        <w:t xml:space="preserve"> given to </w:t>
      </w:r>
      <w:r w:rsidR="00FC388A" w:rsidRPr="00B94720">
        <w:rPr>
          <w:sz w:val="24"/>
          <w:szCs w:val="24"/>
        </w:rPr>
        <w:t>s</w:t>
      </w:r>
      <w:r w:rsidR="00E22384" w:rsidRPr="00B94720">
        <w:rPr>
          <w:sz w:val="24"/>
          <w:szCs w:val="24"/>
        </w:rPr>
        <w:t xml:space="preserve">afeguarding, </w:t>
      </w:r>
      <w:r w:rsidR="00FC388A" w:rsidRPr="00B94720">
        <w:rPr>
          <w:sz w:val="24"/>
          <w:szCs w:val="24"/>
        </w:rPr>
        <w:t>w</w:t>
      </w:r>
      <w:r w:rsidR="00E22384" w:rsidRPr="00B94720">
        <w:rPr>
          <w:sz w:val="24"/>
          <w:szCs w:val="24"/>
        </w:rPr>
        <w:t xml:space="preserve">ellbeing and </w:t>
      </w:r>
      <w:r w:rsidR="00FC388A" w:rsidRPr="00B94720">
        <w:rPr>
          <w:sz w:val="24"/>
          <w:szCs w:val="24"/>
        </w:rPr>
        <w:t>i</w:t>
      </w:r>
      <w:r w:rsidR="00E22384" w:rsidRPr="00B94720">
        <w:rPr>
          <w:sz w:val="24"/>
          <w:szCs w:val="24"/>
        </w:rPr>
        <w:t>nclusion</w:t>
      </w:r>
      <w:r w:rsidR="00432E1A" w:rsidRPr="00B94720">
        <w:rPr>
          <w:sz w:val="24"/>
          <w:szCs w:val="24"/>
        </w:rPr>
        <w:t xml:space="preserve"> due to the impact the</w:t>
      </w:r>
      <w:r w:rsidR="004B11CE" w:rsidRPr="00B94720">
        <w:rPr>
          <w:sz w:val="24"/>
          <w:szCs w:val="24"/>
        </w:rPr>
        <w:t>se</w:t>
      </w:r>
      <w:r w:rsidR="00432E1A" w:rsidRPr="00B94720">
        <w:rPr>
          <w:sz w:val="24"/>
          <w:szCs w:val="24"/>
        </w:rPr>
        <w:t xml:space="preserve"> can have on individuals</w:t>
      </w:r>
      <w:r w:rsidR="00197DD9" w:rsidRPr="00B94720">
        <w:rPr>
          <w:sz w:val="24"/>
          <w:szCs w:val="24"/>
        </w:rPr>
        <w:t>’</w:t>
      </w:r>
      <w:r w:rsidR="00432E1A" w:rsidRPr="00B94720">
        <w:rPr>
          <w:sz w:val="24"/>
          <w:szCs w:val="24"/>
        </w:rPr>
        <w:t xml:space="preserve"> </w:t>
      </w:r>
      <w:r w:rsidR="004B11CE" w:rsidRPr="00B94720">
        <w:rPr>
          <w:sz w:val="24"/>
          <w:szCs w:val="24"/>
        </w:rPr>
        <w:t xml:space="preserve">economic </w:t>
      </w:r>
      <w:r w:rsidR="00432E1A" w:rsidRPr="00B94720">
        <w:rPr>
          <w:sz w:val="24"/>
          <w:szCs w:val="24"/>
        </w:rPr>
        <w:t xml:space="preserve">recovery following Covid 19 and plans for long term growth </w:t>
      </w:r>
      <w:r w:rsidR="00A15F6C" w:rsidRPr="00B94720">
        <w:rPr>
          <w:sz w:val="24"/>
          <w:szCs w:val="24"/>
        </w:rPr>
        <w:t>of the economy.</w:t>
      </w:r>
    </w:p>
    <w:p w14:paraId="009DDC50" w14:textId="720F271A" w:rsidR="00A15F6C" w:rsidRPr="00B94720" w:rsidRDefault="00BD4D4B" w:rsidP="00A15F6C">
      <w:pPr>
        <w:pStyle w:val="Bullet"/>
        <w:rPr>
          <w:sz w:val="24"/>
          <w:szCs w:val="24"/>
        </w:rPr>
      </w:pPr>
      <w:r w:rsidRPr="00B94720">
        <w:rPr>
          <w:sz w:val="24"/>
          <w:szCs w:val="24"/>
        </w:rPr>
        <w:t xml:space="preserve">The </w:t>
      </w:r>
      <w:r w:rsidR="003322B3" w:rsidRPr="00B94720">
        <w:rPr>
          <w:sz w:val="24"/>
          <w:szCs w:val="24"/>
        </w:rPr>
        <w:t xml:space="preserve">number of </w:t>
      </w:r>
      <w:r w:rsidR="001F48D9" w:rsidRPr="00B94720">
        <w:rPr>
          <w:sz w:val="24"/>
          <w:szCs w:val="24"/>
        </w:rPr>
        <w:t xml:space="preserve">assessment </w:t>
      </w:r>
      <w:r w:rsidR="00061D7B" w:rsidRPr="00B94720">
        <w:rPr>
          <w:sz w:val="24"/>
          <w:szCs w:val="24"/>
        </w:rPr>
        <w:t>criteria in</w:t>
      </w:r>
      <w:r w:rsidR="003322B3" w:rsidRPr="00B94720">
        <w:rPr>
          <w:sz w:val="24"/>
          <w:szCs w:val="24"/>
        </w:rPr>
        <w:t xml:space="preserve"> the </w:t>
      </w:r>
      <w:r w:rsidR="001B4354" w:rsidRPr="00B94720">
        <w:rPr>
          <w:sz w:val="24"/>
          <w:szCs w:val="24"/>
        </w:rPr>
        <w:t>S</w:t>
      </w:r>
      <w:r w:rsidR="003322B3" w:rsidRPr="00B94720">
        <w:rPr>
          <w:sz w:val="24"/>
          <w:szCs w:val="24"/>
        </w:rPr>
        <w:t>tandard has increased slightly from 27 to 31</w:t>
      </w:r>
      <w:r w:rsidR="00A15F6C" w:rsidRPr="00B94720">
        <w:rPr>
          <w:sz w:val="24"/>
          <w:szCs w:val="24"/>
        </w:rPr>
        <w:t>.</w:t>
      </w:r>
    </w:p>
    <w:p w14:paraId="05D31912" w14:textId="74D73F21" w:rsidR="00E22384" w:rsidRPr="00B94720" w:rsidRDefault="00A15F6C" w:rsidP="00A15F6C">
      <w:pPr>
        <w:pStyle w:val="Bullet"/>
        <w:rPr>
          <w:sz w:val="24"/>
          <w:szCs w:val="24"/>
        </w:rPr>
      </w:pPr>
      <w:r w:rsidRPr="00B94720">
        <w:rPr>
          <w:sz w:val="24"/>
          <w:szCs w:val="24"/>
        </w:rPr>
        <w:t xml:space="preserve"> Additional guidance</w:t>
      </w:r>
      <w:r w:rsidR="00E22384" w:rsidRPr="00B94720">
        <w:rPr>
          <w:sz w:val="24"/>
          <w:szCs w:val="24"/>
        </w:rPr>
        <w:t xml:space="preserve"> to support interpretation in different </w:t>
      </w:r>
      <w:r w:rsidR="00745888" w:rsidRPr="00B94720">
        <w:rPr>
          <w:sz w:val="24"/>
          <w:szCs w:val="24"/>
        </w:rPr>
        <w:t xml:space="preserve">organisations and </w:t>
      </w:r>
      <w:r w:rsidR="00E22384" w:rsidRPr="00B94720">
        <w:rPr>
          <w:sz w:val="24"/>
          <w:szCs w:val="24"/>
        </w:rPr>
        <w:t>settings</w:t>
      </w:r>
      <w:r w:rsidR="000D5F68" w:rsidRPr="00B94720">
        <w:rPr>
          <w:sz w:val="24"/>
          <w:szCs w:val="24"/>
        </w:rPr>
        <w:t xml:space="preserve"> has been developed</w:t>
      </w:r>
      <w:r w:rsidR="00425E21" w:rsidRPr="00B94720">
        <w:rPr>
          <w:sz w:val="24"/>
          <w:szCs w:val="24"/>
        </w:rPr>
        <w:t>.</w:t>
      </w:r>
    </w:p>
    <w:p w14:paraId="1D300323" w14:textId="68BCA9CF" w:rsidR="00E86090" w:rsidRPr="00B94720" w:rsidRDefault="48709A84" w:rsidP="00B0599F">
      <w:pPr>
        <w:pStyle w:val="Bullet"/>
        <w:jc w:val="left"/>
        <w:rPr>
          <w:sz w:val="24"/>
          <w:szCs w:val="24"/>
        </w:rPr>
      </w:pPr>
      <w:r w:rsidRPr="00B94720">
        <w:rPr>
          <w:sz w:val="24"/>
          <w:szCs w:val="24"/>
        </w:rPr>
        <w:t xml:space="preserve">The </w:t>
      </w:r>
      <w:r w:rsidR="1A01C2C9" w:rsidRPr="00B94720">
        <w:rPr>
          <w:sz w:val="24"/>
          <w:szCs w:val="24"/>
        </w:rPr>
        <w:t xml:space="preserve">revised standard now </w:t>
      </w:r>
      <w:r w:rsidR="4FF6BB35" w:rsidRPr="00B94720">
        <w:rPr>
          <w:sz w:val="24"/>
          <w:szCs w:val="24"/>
        </w:rPr>
        <w:t>acknowledges</w:t>
      </w:r>
      <w:r w:rsidR="6ADCC0D6" w:rsidRPr="00B94720">
        <w:rPr>
          <w:sz w:val="24"/>
          <w:szCs w:val="24"/>
        </w:rPr>
        <w:t xml:space="preserve"> the distance </w:t>
      </w:r>
      <w:r w:rsidR="416C0397" w:rsidRPr="00B94720">
        <w:rPr>
          <w:sz w:val="24"/>
          <w:szCs w:val="24"/>
        </w:rPr>
        <w:t xml:space="preserve">recipients </w:t>
      </w:r>
      <w:r w:rsidR="16539FD5" w:rsidRPr="00B94720">
        <w:rPr>
          <w:sz w:val="24"/>
          <w:szCs w:val="24"/>
        </w:rPr>
        <w:t xml:space="preserve">of the service have </w:t>
      </w:r>
      <w:r w:rsidRPr="00B94720">
        <w:rPr>
          <w:sz w:val="24"/>
          <w:szCs w:val="24"/>
        </w:rPr>
        <w:t>travelled</w:t>
      </w:r>
      <w:r w:rsidR="090FB93D" w:rsidRPr="00B94720">
        <w:rPr>
          <w:sz w:val="24"/>
          <w:szCs w:val="24"/>
        </w:rPr>
        <w:t xml:space="preserve"> and softer outcomes (</w:t>
      </w:r>
      <w:r w:rsidR="625ECA45" w:rsidRPr="00B94720">
        <w:rPr>
          <w:sz w:val="24"/>
          <w:szCs w:val="24"/>
        </w:rPr>
        <w:t>e.g.</w:t>
      </w:r>
      <w:r w:rsidR="090FB93D" w:rsidRPr="00B94720">
        <w:rPr>
          <w:sz w:val="24"/>
          <w:szCs w:val="24"/>
        </w:rPr>
        <w:t xml:space="preserve"> confid</w:t>
      </w:r>
      <w:r w:rsidR="04676DED" w:rsidRPr="00B94720">
        <w:rPr>
          <w:sz w:val="24"/>
          <w:szCs w:val="24"/>
        </w:rPr>
        <w:t>ence</w:t>
      </w:r>
      <w:r w:rsidR="295DE970" w:rsidRPr="00B94720">
        <w:rPr>
          <w:sz w:val="24"/>
          <w:szCs w:val="24"/>
        </w:rPr>
        <w:t>)</w:t>
      </w:r>
      <w:r w:rsidR="6A228854" w:rsidRPr="00B94720">
        <w:rPr>
          <w:sz w:val="24"/>
          <w:szCs w:val="24"/>
        </w:rPr>
        <w:t xml:space="preserve"> </w:t>
      </w:r>
      <w:r w:rsidR="5D3380EE" w:rsidRPr="00B94720">
        <w:rPr>
          <w:sz w:val="24"/>
          <w:szCs w:val="24"/>
        </w:rPr>
        <w:t>ha</w:t>
      </w:r>
      <w:r w:rsidR="4D36454D" w:rsidRPr="00B94720">
        <w:rPr>
          <w:sz w:val="24"/>
          <w:szCs w:val="24"/>
        </w:rPr>
        <w:t>ve</w:t>
      </w:r>
      <w:r w:rsidR="5D3380EE" w:rsidRPr="00B94720">
        <w:rPr>
          <w:sz w:val="24"/>
          <w:szCs w:val="24"/>
        </w:rPr>
        <w:t xml:space="preserve"> </w:t>
      </w:r>
      <w:r w:rsidR="6A228854" w:rsidRPr="00B94720">
        <w:rPr>
          <w:sz w:val="24"/>
          <w:szCs w:val="24"/>
        </w:rPr>
        <w:t>been given greater prominence.</w:t>
      </w:r>
      <w:r w:rsidR="04676DED" w:rsidRPr="00B94720">
        <w:rPr>
          <w:sz w:val="24"/>
          <w:szCs w:val="24"/>
        </w:rPr>
        <w:t xml:space="preserve"> </w:t>
      </w:r>
      <w:r w:rsidR="090FB93D" w:rsidRPr="00B94720">
        <w:rPr>
          <w:sz w:val="24"/>
          <w:szCs w:val="24"/>
        </w:rPr>
        <w:t xml:space="preserve"> </w:t>
      </w:r>
      <w:r w:rsidRPr="00B94720">
        <w:rPr>
          <w:sz w:val="24"/>
          <w:szCs w:val="24"/>
        </w:rPr>
        <w:t xml:space="preserve"> </w:t>
      </w:r>
    </w:p>
    <w:p w14:paraId="7B184EEF" w14:textId="77777777" w:rsidR="00373D7C" w:rsidRDefault="00373D7C">
      <w:pPr>
        <w:jc w:val="left"/>
        <w:rPr>
          <w:rFonts w:asciiTheme="majorHAnsi" w:eastAsiaTheme="majorEastAsia" w:hAnsiTheme="majorHAnsi" w:cstheme="majorBidi"/>
          <w:bCs/>
          <w:color w:val="003087"/>
          <w:sz w:val="28"/>
          <w:szCs w:val="28"/>
        </w:rPr>
      </w:pPr>
      <w:r>
        <w:br w:type="page"/>
      </w:r>
    </w:p>
    <w:p w14:paraId="337437E6" w14:textId="12AC67D7" w:rsidR="00C4488F" w:rsidRPr="00C36FBC" w:rsidRDefault="543E0306" w:rsidP="000B550F">
      <w:pPr>
        <w:pStyle w:val="Heading2"/>
      </w:pPr>
      <w:r>
        <w:lastRenderedPageBreak/>
        <w:t xml:space="preserve">Benefits of the revised Standard </w:t>
      </w:r>
    </w:p>
    <w:p w14:paraId="36A453D1" w14:textId="6743E9FB" w:rsidR="006C67BE" w:rsidRDefault="002B2636" w:rsidP="008B5939">
      <w:pPr>
        <w:jc w:val="left"/>
        <w:rPr>
          <w:rFonts w:cs="Arial"/>
          <w:sz w:val="24"/>
        </w:rPr>
      </w:pPr>
      <w:r w:rsidRPr="00B94720">
        <w:rPr>
          <w:rFonts w:cs="Arial"/>
          <w:sz w:val="24"/>
        </w:rPr>
        <w:t>Extensive</w:t>
      </w:r>
      <w:r w:rsidR="000415F0" w:rsidRPr="00B94720">
        <w:rPr>
          <w:rFonts w:cs="Arial"/>
          <w:sz w:val="24"/>
        </w:rPr>
        <w:t xml:space="preserve"> piloting enabled desired benefits of the changes resulting from the Review to be tested. This piloting confirmed</w:t>
      </w:r>
      <w:r w:rsidR="003F06C8" w:rsidRPr="00B94720">
        <w:rPr>
          <w:rFonts w:cs="Arial"/>
          <w:sz w:val="24"/>
        </w:rPr>
        <w:t xml:space="preserve"> benefits such as</w:t>
      </w:r>
      <w:r w:rsidR="000415F0" w:rsidRPr="00B94720">
        <w:rPr>
          <w:rFonts w:cs="Arial"/>
          <w:sz w:val="24"/>
        </w:rPr>
        <w:t>:</w:t>
      </w:r>
    </w:p>
    <w:p w14:paraId="2AAAAD55" w14:textId="77777777" w:rsidR="004E726B" w:rsidRPr="00B94720" w:rsidRDefault="004E726B" w:rsidP="008B5939">
      <w:pPr>
        <w:jc w:val="left"/>
        <w:rPr>
          <w:rFonts w:cs="Arial"/>
          <w:sz w:val="24"/>
        </w:rPr>
      </w:pPr>
    </w:p>
    <w:p w14:paraId="1BF33D17" w14:textId="06981107" w:rsidR="00C15E9B" w:rsidRPr="00B94720" w:rsidRDefault="00C15E9B" w:rsidP="00CA35D9">
      <w:pPr>
        <w:pStyle w:val="Bullet"/>
        <w:rPr>
          <w:sz w:val="24"/>
          <w:szCs w:val="24"/>
        </w:rPr>
      </w:pPr>
      <w:r w:rsidRPr="00B94720">
        <w:rPr>
          <w:b/>
          <w:bCs/>
          <w:sz w:val="24"/>
          <w:szCs w:val="24"/>
        </w:rPr>
        <w:t xml:space="preserve">Better </w:t>
      </w:r>
      <w:r w:rsidR="00633BD9" w:rsidRPr="00B94720">
        <w:rPr>
          <w:b/>
          <w:bCs/>
          <w:sz w:val="24"/>
          <w:szCs w:val="24"/>
        </w:rPr>
        <w:t>S</w:t>
      </w:r>
      <w:r w:rsidRPr="00B94720">
        <w:rPr>
          <w:b/>
          <w:bCs/>
          <w:sz w:val="24"/>
          <w:szCs w:val="24"/>
        </w:rPr>
        <w:t>tructure</w:t>
      </w:r>
      <w:r w:rsidRPr="00B94720">
        <w:rPr>
          <w:sz w:val="24"/>
          <w:szCs w:val="24"/>
        </w:rPr>
        <w:t xml:space="preserve"> - The </w:t>
      </w:r>
      <w:r w:rsidR="00CF6878" w:rsidRPr="00B94720">
        <w:rPr>
          <w:sz w:val="24"/>
          <w:szCs w:val="24"/>
        </w:rPr>
        <w:t>S</w:t>
      </w:r>
      <w:r w:rsidRPr="00B94720">
        <w:rPr>
          <w:sz w:val="24"/>
          <w:szCs w:val="24"/>
        </w:rPr>
        <w:t>tandard has more logical flow with a plan, do, review structure, making navigation and explanation of the Standard easier.</w:t>
      </w:r>
    </w:p>
    <w:p w14:paraId="5D7B66F5" w14:textId="6E9930FD" w:rsidR="00C15E9B" w:rsidRPr="00B94720" w:rsidRDefault="00644D87" w:rsidP="00CA35D9">
      <w:pPr>
        <w:pStyle w:val="Bullet"/>
        <w:rPr>
          <w:sz w:val="24"/>
          <w:szCs w:val="24"/>
        </w:rPr>
      </w:pPr>
      <w:r w:rsidRPr="00B94720">
        <w:rPr>
          <w:b/>
          <w:bCs/>
          <w:sz w:val="24"/>
          <w:szCs w:val="24"/>
        </w:rPr>
        <w:t xml:space="preserve">Removal of </w:t>
      </w:r>
      <w:r w:rsidR="00C15E9B" w:rsidRPr="00B94720">
        <w:rPr>
          <w:b/>
          <w:bCs/>
          <w:sz w:val="24"/>
          <w:szCs w:val="24"/>
        </w:rPr>
        <w:t>Duplication</w:t>
      </w:r>
      <w:r w:rsidR="00C15E9B" w:rsidRPr="00B94720">
        <w:rPr>
          <w:sz w:val="24"/>
          <w:szCs w:val="24"/>
        </w:rPr>
        <w:t xml:space="preserve"> </w:t>
      </w:r>
      <w:r w:rsidR="00F73736" w:rsidRPr="00B94720">
        <w:rPr>
          <w:sz w:val="24"/>
          <w:szCs w:val="24"/>
        </w:rPr>
        <w:t xml:space="preserve">– similar criteria </w:t>
      </w:r>
      <w:r w:rsidR="000A74D1" w:rsidRPr="00B94720">
        <w:rPr>
          <w:sz w:val="24"/>
          <w:szCs w:val="24"/>
        </w:rPr>
        <w:t>have been</w:t>
      </w:r>
      <w:r w:rsidR="00F73736" w:rsidRPr="00B94720">
        <w:rPr>
          <w:sz w:val="24"/>
          <w:szCs w:val="24"/>
        </w:rPr>
        <w:t xml:space="preserve"> consolidated and</w:t>
      </w:r>
      <w:r w:rsidR="00C15E9B" w:rsidRPr="00B94720">
        <w:rPr>
          <w:sz w:val="24"/>
          <w:szCs w:val="24"/>
        </w:rPr>
        <w:t xml:space="preserve"> </w:t>
      </w:r>
      <w:r w:rsidR="00F73736" w:rsidRPr="00B94720">
        <w:rPr>
          <w:sz w:val="24"/>
          <w:szCs w:val="24"/>
        </w:rPr>
        <w:t xml:space="preserve">related </w:t>
      </w:r>
      <w:r w:rsidR="00C15E9B" w:rsidRPr="00B94720">
        <w:rPr>
          <w:sz w:val="24"/>
          <w:szCs w:val="24"/>
        </w:rPr>
        <w:t>themes have been placed together making the Standard easier to work with.</w:t>
      </w:r>
    </w:p>
    <w:p w14:paraId="6229A968" w14:textId="49B25FE7" w:rsidR="00C15E9B" w:rsidRPr="00B94720" w:rsidRDefault="00633BD9" w:rsidP="00CA35D9">
      <w:pPr>
        <w:pStyle w:val="Bullet"/>
        <w:rPr>
          <w:sz w:val="24"/>
          <w:szCs w:val="24"/>
        </w:rPr>
      </w:pPr>
      <w:r w:rsidRPr="00B94720">
        <w:rPr>
          <w:b/>
          <w:bCs/>
          <w:sz w:val="24"/>
          <w:szCs w:val="24"/>
        </w:rPr>
        <w:t xml:space="preserve">Clear </w:t>
      </w:r>
      <w:r w:rsidR="000A74D1" w:rsidRPr="00B94720">
        <w:rPr>
          <w:b/>
          <w:bCs/>
          <w:sz w:val="24"/>
          <w:szCs w:val="24"/>
        </w:rPr>
        <w:t>Expectations</w:t>
      </w:r>
      <w:r w:rsidRPr="00B94720">
        <w:rPr>
          <w:sz w:val="24"/>
          <w:szCs w:val="24"/>
        </w:rPr>
        <w:t xml:space="preserve"> - </w:t>
      </w:r>
      <w:r w:rsidR="00C15E9B" w:rsidRPr="00B94720">
        <w:rPr>
          <w:sz w:val="24"/>
          <w:szCs w:val="24"/>
        </w:rPr>
        <w:t>The recipients of the service must now have access to a clearly defined description of the service they should expect, thereby empowering them to make better choices and question delivery if it does not meet expectations.</w:t>
      </w:r>
    </w:p>
    <w:p w14:paraId="1AB80F0E" w14:textId="76474A60" w:rsidR="00C15E9B" w:rsidRPr="00B94720" w:rsidRDefault="00A54AD7" w:rsidP="00CA35D9">
      <w:pPr>
        <w:pStyle w:val="Bullet"/>
        <w:rPr>
          <w:sz w:val="24"/>
          <w:szCs w:val="24"/>
        </w:rPr>
      </w:pPr>
      <w:r w:rsidRPr="00B94720">
        <w:rPr>
          <w:b/>
          <w:bCs/>
          <w:sz w:val="24"/>
          <w:szCs w:val="24"/>
        </w:rPr>
        <w:t xml:space="preserve">Wellbeing </w:t>
      </w:r>
      <w:r w:rsidRPr="00B94720">
        <w:rPr>
          <w:sz w:val="24"/>
          <w:szCs w:val="24"/>
        </w:rPr>
        <w:t xml:space="preserve">- </w:t>
      </w:r>
      <w:r w:rsidR="00C15E9B" w:rsidRPr="00B94720">
        <w:rPr>
          <w:sz w:val="24"/>
          <w:szCs w:val="24"/>
        </w:rPr>
        <w:t>The recipient’s wellbeing is considered, leading to the information, advice and guidance being more effectively received.</w:t>
      </w:r>
    </w:p>
    <w:p w14:paraId="22264290" w14:textId="3B8933D7" w:rsidR="00C15E9B" w:rsidRPr="00B94720" w:rsidRDefault="00A54AD7" w:rsidP="00CA35D9">
      <w:pPr>
        <w:pStyle w:val="Bullet"/>
        <w:rPr>
          <w:sz w:val="24"/>
          <w:szCs w:val="24"/>
        </w:rPr>
      </w:pPr>
      <w:r w:rsidRPr="00B94720">
        <w:rPr>
          <w:b/>
          <w:bCs/>
          <w:sz w:val="24"/>
          <w:szCs w:val="24"/>
        </w:rPr>
        <w:t>Hard and Soft Outcomes</w:t>
      </w:r>
      <w:r w:rsidRPr="00B94720">
        <w:rPr>
          <w:sz w:val="24"/>
          <w:szCs w:val="24"/>
        </w:rPr>
        <w:t xml:space="preserve"> </w:t>
      </w:r>
      <w:r w:rsidR="005C3961" w:rsidRPr="00B94720">
        <w:rPr>
          <w:sz w:val="24"/>
          <w:szCs w:val="24"/>
        </w:rPr>
        <w:t xml:space="preserve">– As </w:t>
      </w:r>
      <w:r w:rsidR="00CF6878" w:rsidRPr="00B94720">
        <w:rPr>
          <w:sz w:val="24"/>
          <w:szCs w:val="24"/>
        </w:rPr>
        <w:t>appropriate,</w:t>
      </w:r>
      <w:r w:rsidR="00C15E9B" w:rsidRPr="00B94720">
        <w:rPr>
          <w:sz w:val="24"/>
          <w:szCs w:val="24"/>
        </w:rPr>
        <w:t xml:space="preserve"> the recipient should be working towards both hard outcomes such as gaining employment</w:t>
      </w:r>
      <w:r w:rsidR="00A15F6C" w:rsidRPr="00B94720">
        <w:rPr>
          <w:sz w:val="24"/>
          <w:szCs w:val="24"/>
        </w:rPr>
        <w:t xml:space="preserve"> or going into training </w:t>
      </w:r>
      <w:r w:rsidR="00C15E9B" w:rsidRPr="00B94720">
        <w:rPr>
          <w:sz w:val="24"/>
          <w:szCs w:val="24"/>
        </w:rPr>
        <w:t>as well as soft outcomes such as gaining the confidence to have a job interview.</w:t>
      </w:r>
    </w:p>
    <w:p w14:paraId="30D443D0" w14:textId="43115B18" w:rsidR="00C15E9B" w:rsidRPr="00B94720" w:rsidRDefault="00C15E9B" w:rsidP="00CA35D9">
      <w:pPr>
        <w:pStyle w:val="Bullet"/>
        <w:rPr>
          <w:sz w:val="24"/>
          <w:szCs w:val="24"/>
        </w:rPr>
      </w:pPr>
      <w:r w:rsidRPr="00B94720">
        <w:rPr>
          <w:b/>
          <w:bCs/>
          <w:sz w:val="24"/>
          <w:szCs w:val="24"/>
        </w:rPr>
        <w:t xml:space="preserve">Distance </w:t>
      </w:r>
      <w:r w:rsidR="00EA5998" w:rsidRPr="00B94720">
        <w:rPr>
          <w:b/>
          <w:bCs/>
          <w:sz w:val="24"/>
          <w:szCs w:val="24"/>
        </w:rPr>
        <w:t>T</w:t>
      </w:r>
      <w:r w:rsidRPr="00B94720">
        <w:rPr>
          <w:b/>
          <w:bCs/>
          <w:sz w:val="24"/>
          <w:szCs w:val="24"/>
        </w:rPr>
        <w:t>ravelled</w:t>
      </w:r>
      <w:r w:rsidRPr="00B94720">
        <w:rPr>
          <w:sz w:val="24"/>
          <w:szCs w:val="24"/>
        </w:rPr>
        <w:t xml:space="preserve"> </w:t>
      </w:r>
      <w:r w:rsidR="006030A2" w:rsidRPr="00B94720">
        <w:rPr>
          <w:sz w:val="24"/>
          <w:szCs w:val="24"/>
        </w:rPr>
        <w:t>- This</w:t>
      </w:r>
      <w:r w:rsidR="005600C4" w:rsidRPr="00B94720">
        <w:rPr>
          <w:sz w:val="24"/>
          <w:szCs w:val="24"/>
        </w:rPr>
        <w:t xml:space="preserve"> added</w:t>
      </w:r>
      <w:r w:rsidRPr="00B94720">
        <w:rPr>
          <w:sz w:val="24"/>
          <w:szCs w:val="24"/>
        </w:rPr>
        <w:t xml:space="preserve"> </w:t>
      </w:r>
      <w:r w:rsidR="005600C4" w:rsidRPr="00B94720">
        <w:rPr>
          <w:sz w:val="24"/>
          <w:szCs w:val="24"/>
        </w:rPr>
        <w:t>to</w:t>
      </w:r>
      <w:r w:rsidRPr="00B94720">
        <w:rPr>
          <w:sz w:val="24"/>
          <w:szCs w:val="24"/>
        </w:rPr>
        <w:t xml:space="preserve"> the revised framework </w:t>
      </w:r>
      <w:r w:rsidR="009E77ED" w:rsidRPr="00B94720">
        <w:rPr>
          <w:sz w:val="24"/>
          <w:szCs w:val="24"/>
        </w:rPr>
        <w:t xml:space="preserve">means </w:t>
      </w:r>
      <w:r w:rsidR="00093074" w:rsidRPr="00B94720">
        <w:rPr>
          <w:sz w:val="24"/>
          <w:szCs w:val="24"/>
        </w:rPr>
        <w:t xml:space="preserve">recipient </w:t>
      </w:r>
      <w:r w:rsidRPr="00B94720">
        <w:rPr>
          <w:sz w:val="24"/>
          <w:szCs w:val="24"/>
        </w:rPr>
        <w:t xml:space="preserve">progress can be reviewed against milestones and support offered to help </w:t>
      </w:r>
      <w:r w:rsidR="00B058A1" w:rsidRPr="00B94720">
        <w:rPr>
          <w:sz w:val="24"/>
          <w:szCs w:val="24"/>
        </w:rPr>
        <w:t>them</w:t>
      </w:r>
      <w:r w:rsidRPr="00B94720">
        <w:rPr>
          <w:sz w:val="24"/>
          <w:szCs w:val="24"/>
        </w:rPr>
        <w:t xml:space="preserve"> achieve their goals.</w:t>
      </w:r>
    </w:p>
    <w:p w14:paraId="16D970E6" w14:textId="3CB21553" w:rsidR="00DA2CF4" w:rsidRPr="00B94720" w:rsidRDefault="5090E34F" w:rsidP="77F9BD9D">
      <w:pPr>
        <w:pStyle w:val="Bullet"/>
        <w:rPr>
          <w:sz w:val="24"/>
          <w:szCs w:val="24"/>
        </w:rPr>
      </w:pPr>
      <w:r w:rsidRPr="00B94720">
        <w:rPr>
          <w:b/>
          <w:bCs/>
          <w:sz w:val="24"/>
          <w:szCs w:val="24"/>
        </w:rPr>
        <w:t>Connect</w:t>
      </w:r>
      <w:r w:rsidR="0AE41573" w:rsidRPr="00B94720">
        <w:rPr>
          <w:b/>
          <w:bCs/>
          <w:sz w:val="24"/>
          <w:szCs w:val="24"/>
        </w:rPr>
        <w:t>ing Framework</w:t>
      </w:r>
      <w:r w:rsidR="30DB4583" w:rsidRPr="00B94720">
        <w:rPr>
          <w:b/>
          <w:bCs/>
          <w:sz w:val="24"/>
          <w:szCs w:val="24"/>
        </w:rPr>
        <w:t>s</w:t>
      </w:r>
      <w:r w:rsidR="536E9296" w:rsidRPr="00B94720">
        <w:rPr>
          <w:b/>
          <w:bCs/>
          <w:sz w:val="24"/>
          <w:szCs w:val="24"/>
        </w:rPr>
        <w:t xml:space="preserve"> –</w:t>
      </w:r>
      <w:r w:rsidR="536E9296" w:rsidRPr="00B94720">
        <w:rPr>
          <w:sz w:val="24"/>
          <w:szCs w:val="24"/>
        </w:rPr>
        <w:t xml:space="preserve"> </w:t>
      </w:r>
      <w:r w:rsidR="771B3190" w:rsidRPr="00B94720">
        <w:rPr>
          <w:sz w:val="24"/>
          <w:szCs w:val="24"/>
        </w:rPr>
        <w:t>strengthening</w:t>
      </w:r>
      <w:r w:rsidR="1AB1A70F" w:rsidRPr="00B94720">
        <w:rPr>
          <w:sz w:val="24"/>
          <w:szCs w:val="24"/>
        </w:rPr>
        <w:t xml:space="preserve"> the relationship between the Standard</w:t>
      </w:r>
      <w:r w:rsidRPr="00B94720">
        <w:rPr>
          <w:sz w:val="24"/>
          <w:szCs w:val="24"/>
        </w:rPr>
        <w:t xml:space="preserve"> and the Gatsby Benchmarks </w:t>
      </w:r>
      <w:r w:rsidR="11B2D237" w:rsidRPr="00B94720">
        <w:rPr>
          <w:sz w:val="24"/>
          <w:szCs w:val="24"/>
        </w:rPr>
        <w:t xml:space="preserve">and Ofsted Common Inspection framework helps </w:t>
      </w:r>
      <w:r w:rsidR="4AFE33ED" w:rsidRPr="00B94720">
        <w:rPr>
          <w:sz w:val="24"/>
          <w:szCs w:val="24"/>
        </w:rPr>
        <w:t xml:space="preserve">link different areas of DfE policy. </w:t>
      </w:r>
    </w:p>
    <w:p w14:paraId="57747C40" w14:textId="7DB4A4A9" w:rsidR="00354BCD" w:rsidRPr="00B94720" w:rsidRDefault="00F65549" w:rsidP="00CA35D9">
      <w:pPr>
        <w:pStyle w:val="Bullet"/>
        <w:rPr>
          <w:sz w:val="24"/>
          <w:szCs w:val="24"/>
        </w:rPr>
      </w:pPr>
      <w:r w:rsidRPr="00B94720">
        <w:rPr>
          <w:b/>
          <w:bCs/>
          <w:sz w:val="24"/>
          <w:szCs w:val="24"/>
        </w:rPr>
        <w:t>Solid Evidence</w:t>
      </w:r>
      <w:r w:rsidR="00CF6878" w:rsidRPr="00B94720">
        <w:rPr>
          <w:b/>
          <w:bCs/>
          <w:sz w:val="24"/>
          <w:szCs w:val="24"/>
        </w:rPr>
        <w:t>-</w:t>
      </w:r>
      <w:r w:rsidRPr="00B94720">
        <w:rPr>
          <w:b/>
          <w:bCs/>
          <w:sz w:val="24"/>
          <w:szCs w:val="24"/>
        </w:rPr>
        <w:t>Based Practice</w:t>
      </w:r>
      <w:r w:rsidRPr="00B94720">
        <w:rPr>
          <w:sz w:val="24"/>
          <w:szCs w:val="24"/>
        </w:rPr>
        <w:t xml:space="preserve"> - </w:t>
      </w:r>
      <w:r w:rsidR="00F42DBB" w:rsidRPr="00B94720">
        <w:rPr>
          <w:sz w:val="24"/>
          <w:szCs w:val="24"/>
        </w:rPr>
        <w:t>Requires o</w:t>
      </w:r>
      <w:r w:rsidR="00354BCD" w:rsidRPr="00B94720">
        <w:rPr>
          <w:sz w:val="24"/>
          <w:szCs w:val="24"/>
        </w:rPr>
        <w:t xml:space="preserve">rganisations to gather a sound evidence base to </w:t>
      </w:r>
      <w:r w:rsidR="00BF390E" w:rsidRPr="00B94720">
        <w:rPr>
          <w:sz w:val="24"/>
          <w:szCs w:val="24"/>
        </w:rPr>
        <w:t>demonstrate that</w:t>
      </w:r>
      <w:r w:rsidR="00354BCD" w:rsidRPr="00B94720">
        <w:rPr>
          <w:sz w:val="24"/>
          <w:szCs w:val="24"/>
        </w:rPr>
        <w:t xml:space="preserve"> the approaches being </w:t>
      </w:r>
      <w:r w:rsidR="00BF390E" w:rsidRPr="00B94720">
        <w:rPr>
          <w:sz w:val="24"/>
          <w:szCs w:val="24"/>
        </w:rPr>
        <w:t>applied</w:t>
      </w:r>
      <w:r w:rsidR="00354BCD" w:rsidRPr="00B94720">
        <w:rPr>
          <w:sz w:val="24"/>
          <w:szCs w:val="24"/>
        </w:rPr>
        <w:t xml:space="preserve"> are based on good practice</w:t>
      </w:r>
      <w:r w:rsidR="006F013A" w:rsidRPr="00B94720">
        <w:rPr>
          <w:sz w:val="24"/>
          <w:szCs w:val="24"/>
        </w:rPr>
        <w:t>.</w:t>
      </w:r>
    </w:p>
    <w:p w14:paraId="742FB656" w14:textId="153EFF44" w:rsidR="00354BCD" w:rsidRPr="00B94720" w:rsidRDefault="00F42DBB" w:rsidP="00CA35D9">
      <w:pPr>
        <w:pStyle w:val="Bullet"/>
        <w:rPr>
          <w:sz w:val="24"/>
          <w:szCs w:val="24"/>
        </w:rPr>
      </w:pPr>
      <w:bookmarkStart w:id="5" w:name="_Hlk119658439"/>
      <w:r w:rsidRPr="00B94720">
        <w:rPr>
          <w:b/>
          <w:bCs/>
          <w:sz w:val="24"/>
          <w:szCs w:val="24"/>
        </w:rPr>
        <w:t>Leverages t</w:t>
      </w:r>
      <w:r w:rsidR="00354BCD" w:rsidRPr="00B94720">
        <w:rPr>
          <w:b/>
          <w:bCs/>
          <w:sz w:val="24"/>
          <w:szCs w:val="24"/>
        </w:rPr>
        <w:t>he adoption of technology</w:t>
      </w:r>
      <w:r w:rsidR="00354BCD" w:rsidRPr="00B94720">
        <w:rPr>
          <w:sz w:val="24"/>
          <w:szCs w:val="24"/>
        </w:rPr>
        <w:t xml:space="preserve"> to support how assessments are conducted</w:t>
      </w:r>
      <w:r w:rsidR="00CF6878" w:rsidRPr="00B94720">
        <w:rPr>
          <w:sz w:val="24"/>
          <w:szCs w:val="24"/>
        </w:rPr>
        <w:t xml:space="preserve">, </w:t>
      </w:r>
      <w:r w:rsidR="00354BCD" w:rsidRPr="00B94720">
        <w:rPr>
          <w:sz w:val="24"/>
          <w:szCs w:val="24"/>
        </w:rPr>
        <w:t xml:space="preserve">making it easier to schedule </w:t>
      </w:r>
      <w:r w:rsidR="00CF6878" w:rsidRPr="00B94720">
        <w:rPr>
          <w:sz w:val="24"/>
          <w:szCs w:val="24"/>
        </w:rPr>
        <w:t>assessment interviews</w:t>
      </w:r>
      <w:r w:rsidR="00354BCD" w:rsidRPr="00B94720">
        <w:rPr>
          <w:sz w:val="24"/>
          <w:szCs w:val="24"/>
        </w:rPr>
        <w:t xml:space="preserve"> and connect with a range of different sites</w:t>
      </w:r>
      <w:r w:rsidR="006F013A" w:rsidRPr="00B94720">
        <w:rPr>
          <w:sz w:val="24"/>
          <w:szCs w:val="24"/>
        </w:rPr>
        <w:t>.</w:t>
      </w:r>
    </w:p>
    <w:bookmarkEnd w:id="5"/>
    <w:p w14:paraId="2125E663" w14:textId="4923EAD3" w:rsidR="00354BCD" w:rsidRPr="00373D7C" w:rsidRDefault="00F42DBB" w:rsidP="00CA35D9">
      <w:pPr>
        <w:pStyle w:val="Bullet"/>
        <w:rPr>
          <w:sz w:val="24"/>
          <w:szCs w:val="24"/>
        </w:rPr>
      </w:pPr>
      <w:r w:rsidRPr="00373D7C">
        <w:rPr>
          <w:b/>
          <w:bCs/>
          <w:sz w:val="24"/>
          <w:szCs w:val="24"/>
        </w:rPr>
        <w:t>Adapts t</w:t>
      </w:r>
      <w:r w:rsidR="00354BCD" w:rsidRPr="00373D7C">
        <w:rPr>
          <w:b/>
          <w:bCs/>
          <w:sz w:val="24"/>
          <w:szCs w:val="24"/>
        </w:rPr>
        <w:t xml:space="preserve">he Continuous Improvement </w:t>
      </w:r>
      <w:r w:rsidR="006F013A" w:rsidRPr="00373D7C">
        <w:rPr>
          <w:b/>
          <w:bCs/>
          <w:sz w:val="24"/>
          <w:szCs w:val="24"/>
        </w:rPr>
        <w:t>Check</w:t>
      </w:r>
      <w:r w:rsidR="006F013A" w:rsidRPr="00373D7C">
        <w:rPr>
          <w:sz w:val="24"/>
          <w:szCs w:val="24"/>
        </w:rPr>
        <w:t xml:space="preserve"> p</w:t>
      </w:r>
      <w:r w:rsidR="00354BCD" w:rsidRPr="00373D7C">
        <w:rPr>
          <w:sz w:val="24"/>
          <w:szCs w:val="24"/>
        </w:rPr>
        <w:t>rocess to better support not only a reflective discussion but a forward looking one</w:t>
      </w:r>
      <w:r w:rsidR="006F013A" w:rsidRPr="00373D7C">
        <w:rPr>
          <w:sz w:val="24"/>
          <w:szCs w:val="24"/>
        </w:rPr>
        <w:t>.</w:t>
      </w:r>
    </w:p>
    <w:p w14:paraId="505A3272" w14:textId="2E63122F" w:rsidR="001F1536" w:rsidRPr="00373D7C" w:rsidRDefault="001F1536" w:rsidP="002217F7">
      <w:pPr>
        <w:rPr>
          <w:rFonts w:cs="Arial"/>
          <w:sz w:val="24"/>
        </w:rPr>
      </w:pPr>
    </w:p>
    <w:p w14:paraId="2E8454E0" w14:textId="64C27722" w:rsidR="002B2636" w:rsidRPr="00373D7C" w:rsidRDefault="001B35D8" w:rsidP="002217F7">
      <w:pPr>
        <w:rPr>
          <w:rFonts w:cs="Arial"/>
          <w:b/>
          <w:bCs/>
          <w:sz w:val="24"/>
        </w:rPr>
      </w:pPr>
      <w:r w:rsidRPr="00373D7C">
        <w:rPr>
          <w:rFonts w:cs="Arial"/>
          <w:sz w:val="24"/>
        </w:rPr>
        <w:t xml:space="preserve">All the benefits highlighted above </w:t>
      </w:r>
      <w:r w:rsidR="00883D8D" w:rsidRPr="00373D7C">
        <w:rPr>
          <w:rFonts w:cs="Arial"/>
          <w:sz w:val="24"/>
        </w:rPr>
        <w:t xml:space="preserve">support </w:t>
      </w:r>
      <w:r w:rsidR="002A3781" w:rsidRPr="00373D7C">
        <w:rPr>
          <w:rFonts w:cs="Arial"/>
          <w:sz w:val="24"/>
        </w:rPr>
        <w:t>organisations to</w:t>
      </w:r>
      <w:r w:rsidR="00883D8D" w:rsidRPr="00373D7C">
        <w:rPr>
          <w:rFonts w:cs="Arial"/>
          <w:sz w:val="24"/>
        </w:rPr>
        <w:t xml:space="preserve"> </w:t>
      </w:r>
      <w:r w:rsidR="00A753B4" w:rsidRPr="00373D7C">
        <w:rPr>
          <w:rFonts w:cs="Arial"/>
          <w:sz w:val="24"/>
        </w:rPr>
        <w:t>deliver</w:t>
      </w:r>
      <w:r w:rsidR="00883D8D" w:rsidRPr="00373D7C">
        <w:rPr>
          <w:rFonts w:cs="Arial"/>
          <w:sz w:val="24"/>
        </w:rPr>
        <w:t xml:space="preserve"> high quality information and </w:t>
      </w:r>
      <w:r w:rsidR="00020667" w:rsidRPr="00373D7C">
        <w:rPr>
          <w:rFonts w:cs="Arial"/>
          <w:sz w:val="24"/>
        </w:rPr>
        <w:t xml:space="preserve">advice and guidance </w:t>
      </w:r>
      <w:r w:rsidR="00A858B9" w:rsidRPr="00373D7C">
        <w:rPr>
          <w:rFonts w:cs="Arial"/>
          <w:sz w:val="24"/>
        </w:rPr>
        <w:t xml:space="preserve">enabling </w:t>
      </w:r>
      <w:r w:rsidR="00A753B4" w:rsidRPr="00373D7C">
        <w:rPr>
          <w:rFonts w:cs="Arial"/>
          <w:sz w:val="24"/>
        </w:rPr>
        <w:t>recipients of their service</w:t>
      </w:r>
      <w:r w:rsidR="00A858B9" w:rsidRPr="00373D7C">
        <w:rPr>
          <w:rFonts w:cs="Arial"/>
          <w:sz w:val="24"/>
        </w:rPr>
        <w:t xml:space="preserve"> to maximise their potent</w:t>
      </w:r>
      <w:r w:rsidR="006010A4" w:rsidRPr="00373D7C">
        <w:rPr>
          <w:rFonts w:cs="Arial"/>
          <w:sz w:val="24"/>
        </w:rPr>
        <w:t>ial</w:t>
      </w:r>
      <w:r w:rsidR="002A3781" w:rsidRPr="00373D7C">
        <w:rPr>
          <w:rFonts w:cs="Arial"/>
          <w:b/>
          <w:bCs/>
          <w:sz w:val="24"/>
        </w:rPr>
        <w:t>.</w:t>
      </w:r>
    </w:p>
    <w:p w14:paraId="3F9EC69B" w14:textId="77777777" w:rsidR="002B2636" w:rsidRPr="00373D7C" w:rsidRDefault="002B2636" w:rsidP="002217F7">
      <w:pPr>
        <w:rPr>
          <w:rFonts w:cs="Arial"/>
          <w:b/>
          <w:bCs/>
          <w:sz w:val="24"/>
        </w:rPr>
      </w:pPr>
    </w:p>
    <w:p w14:paraId="095BC802" w14:textId="23A7F287" w:rsidR="00BE7B5A" w:rsidRPr="00373D7C" w:rsidRDefault="003B5962" w:rsidP="002217F7">
      <w:pPr>
        <w:rPr>
          <w:rFonts w:cs="Arial"/>
          <w:b/>
          <w:bCs/>
          <w:sz w:val="24"/>
        </w:rPr>
      </w:pPr>
      <w:bookmarkStart w:id="6" w:name="_Hlk119658766"/>
      <w:r w:rsidRPr="00373D7C">
        <w:rPr>
          <w:rFonts w:cs="Arial"/>
          <w:b/>
          <w:bCs/>
          <w:sz w:val="24"/>
        </w:rPr>
        <w:t>The Growth Company</w:t>
      </w:r>
      <w:r w:rsidR="001F1536" w:rsidRPr="00373D7C">
        <w:rPr>
          <w:rFonts w:cs="Arial"/>
          <w:b/>
          <w:bCs/>
          <w:sz w:val="24"/>
        </w:rPr>
        <w:t xml:space="preserve"> </w:t>
      </w:r>
      <w:r w:rsidRPr="00373D7C">
        <w:rPr>
          <w:rFonts w:cs="Arial"/>
          <w:b/>
          <w:bCs/>
          <w:sz w:val="24"/>
        </w:rPr>
        <w:t>recommend</w:t>
      </w:r>
      <w:r w:rsidR="001F1536" w:rsidRPr="00373D7C">
        <w:rPr>
          <w:rFonts w:cs="Arial"/>
          <w:b/>
          <w:bCs/>
          <w:sz w:val="24"/>
        </w:rPr>
        <w:t xml:space="preserve"> that</w:t>
      </w:r>
      <w:r w:rsidR="00E43AB8" w:rsidRPr="00373D7C">
        <w:rPr>
          <w:rFonts w:cs="Arial"/>
          <w:b/>
          <w:bCs/>
          <w:sz w:val="24"/>
        </w:rPr>
        <w:t xml:space="preserve"> </w:t>
      </w:r>
      <w:r w:rsidR="001F1536" w:rsidRPr="00373D7C">
        <w:rPr>
          <w:rFonts w:cs="Arial"/>
          <w:b/>
          <w:bCs/>
          <w:sz w:val="24"/>
        </w:rPr>
        <w:t>the revised version of the Standard is ad</w:t>
      </w:r>
      <w:r w:rsidR="004E1E4E" w:rsidRPr="00373D7C">
        <w:rPr>
          <w:rFonts w:cs="Arial"/>
          <w:b/>
          <w:bCs/>
          <w:sz w:val="24"/>
        </w:rPr>
        <w:t>opted</w:t>
      </w:r>
      <w:r w:rsidR="005D4F22" w:rsidRPr="00373D7C">
        <w:rPr>
          <w:rFonts w:cs="Arial"/>
          <w:b/>
          <w:bCs/>
          <w:sz w:val="24"/>
        </w:rPr>
        <w:t xml:space="preserve"> by the Department for Education</w:t>
      </w:r>
      <w:r w:rsidR="001F1536" w:rsidRPr="00373D7C">
        <w:rPr>
          <w:rFonts w:cs="Arial"/>
          <w:b/>
          <w:bCs/>
          <w:sz w:val="24"/>
        </w:rPr>
        <w:t>.</w:t>
      </w:r>
    </w:p>
    <w:bookmarkEnd w:id="6"/>
    <w:p w14:paraId="263E05B0" w14:textId="77777777" w:rsidR="00E34AA3" w:rsidRPr="00373D7C" w:rsidRDefault="00E34AA3" w:rsidP="002217F7">
      <w:pPr>
        <w:rPr>
          <w:sz w:val="24"/>
        </w:rPr>
      </w:pPr>
    </w:p>
    <w:p w14:paraId="5E4B7649" w14:textId="77777777" w:rsidR="00A2796D" w:rsidRPr="00C36FBC" w:rsidRDefault="00A2796D" w:rsidP="002217F7"/>
    <w:p w14:paraId="709A58A6" w14:textId="5537F1FE" w:rsidR="00A2796D" w:rsidRPr="00C36FBC" w:rsidRDefault="00A2796D" w:rsidP="002217F7">
      <w:pPr>
        <w:sectPr w:rsidR="00A2796D" w:rsidRPr="00C36FBC" w:rsidSect="00E944D3">
          <w:pgSz w:w="11900" w:h="16840" w:code="9"/>
          <w:pgMar w:top="1134" w:right="1134" w:bottom="1134" w:left="1134" w:header="709" w:footer="709" w:gutter="0"/>
          <w:cols w:space="708"/>
          <w:titlePg/>
          <w:docGrid w:linePitch="360"/>
        </w:sectPr>
      </w:pPr>
    </w:p>
    <w:p w14:paraId="60917932" w14:textId="25000418" w:rsidR="00CA41E9" w:rsidRPr="00350757" w:rsidRDefault="00CA41E9" w:rsidP="000B550F">
      <w:pPr>
        <w:pStyle w:val="Heading1"/>
      </w:pPr>
      <w:bookmarkStart w:id="7" w:name="_Toc116456706"/>
      <w:bookmarkStart w:id="8" w:name="_Toc129688495"/>
      <w:r w:rsidRPr="00426A6A">
        <w:lastRenderedPageBreak/>
        <w:t>Background</w:t>
      </w:r>
      <w:bookmarkEnd w:id="7"/>
      <w:bookmarkEnd w:id="8"/>
    </w:p>
    <w:p w14:paraId="4ECD70B8" w14:textId="3A6A2C58" w:rsidR="00CA41E9" w:rsidRPr="00C36FBC" w:rsidRDefault="00CA41E9" w:rsidP="002217F7">
      <w:pPr>
        <w:rPr>
          <w:rFonts w:cs="Arial"/>
        </w:rPr>
      </w:pPr>
    </w:p>
    <w:p w14:paraId="064F4451" w14:textId="0E9BD77E" w:rsidR="003F61D5" w:rsidRPr="00373D7C" w:rsidRDefault="00CA41E9" w:rsidP="002217F7">
      <w:pPr>
        <w:rPr>
          <w:rFonts w:cs="Arial"/>
          <w:sz w:val="24"/>
        </w:rPr>
      </w:pPr>
      <w:r w:rsidRPr="00373D7C">
        <w:rPr>
          <w:rFonts w:cs="Arial"/>
          <w:sz w:val="24"/>
        </w:rPr>
        <w:t xml:space="preserve">The </w:t>
      </w:r>
      <w:r w:rsidR="00042133" w:rsidRPr="00373D7C">
        <w:rPr>
          <w:rFonts w:cs="Arial"/>
          <w:sz w:val="24"/>
        </w:rPr>
        <w:t>current</w:t>
      </w:r>
      <w:r w:rsidRPr="00373D7C">
        <w:rPr>
          <w:rFonts w:cs="Arial"/>
          <w:sz w:val="24"/>
        </w:rPr>
        <w:t xml:space="preserve"> version of the Standard was launched in 2011 and </w:t>
      </w:r>
      <w:r w:rsidR="00042133" w:rsidRPr="00373D7C">
        <w:rPr>
          <w:rFonts w:cs="Arial"/>
          <w:sz w:val="24"/>
        </w:rPr>
        <w:t>i</w:t>
      </w:r>
      <w:r w:rsidRPr="00373D7C">
        <w:rPr>
          <w:rFonts w:cs="Arial"/>
          <w:sz w:val="24"/>
        </w:rPr>
        <w:t xml:space="preserve">s the third </w:t>
      </w:r>
      <w:r w:rsidR="00042133" w:rsidRPr="00373D7C">
        <w:rPr>
          <w:rFonts w:cs="Arial"/>
          <w:sz w:val="24"/>
        </w:rPr>
        <w:t>version</w:t>
      </w:r>
      <w:r w:rsidRPr="00373D7C">
        <w:rPr>
          <w:rFonts w:cs="Arial"/>
          <w:sz w:val="24"/>
        </w:rPr>
        <w:t xml:space="preserve"> of the Standard since 2002</w:t>
      </w:r>
      <w:r w:rsidR="00087E9A" w:rsidRPr="00373D7C">
        <w:rPr>
          <w:rFonts w:cs="Arial"/>
          <w:sz w:val="24"/>
        </w:rPr>
        <w:t>, when the Standard was first launched</w:t>
      </w:r>
      <w:r w:rsidRPr="00373D7C">
        <w:rPr>
          <w:rFonts w:cs="Arial"/>
          <w:sz w:val="24"/>
        </w:rPr>
        <w:t xml:space="preserve">. </w:t>
      </w:r>
      <w:r w:rsidR="00FA594B" w:rsidRPr="00373D7C">
        <w:rPr>
          <w:rFonts w:cs="Arial"/>
          <w:sz w:val="24"/>
        </w:rPr>
        <w:t xml:space="preserve">The Department for Education </w:t>
      </w:r>
      <w:r w:rsidR="00E72D98" w:rsidRPr="00373D7C">
        <w:rPr>
          <w:rFonts w:cs="Arial"/>
          <w:sz w:val="24"/>
        </w:rPr>
        <w:t xml:space="preserve">(DfE) </w:t>
      </w:r>
      <w:r w:rsidR="00FA594B" w:rsidRPr="00373D7C">
        <w:rPr>
          <w:rFonts w:cs="Arial"/>
          <w:sz w:val="24"/>
        </w:rPr>
        <w:t>wa</w:t>
      </w:r>
      <w:r w:rsidR="00006585" w:rsidRPr="00373D7C">
        <w:rPr>
          <w:rFonts w:cs="Arial"/>
          <w:sz w:val="24"/>
        </w:rPr>
        <w:t>nted to ensure that</w:t>
      </w:r>
      <w:r w:rsidR="00BF79BC" w:rsidRPr="00373D7C">
        <w:rPr>
          <w:rFonts w:cs="Arial"/>
          <w:sz w:val="24"/>
        </w:rPr>
        <w:t xml:space="preserve"> the Standard remained at the leading edge</w:t>
      </w:r>
      <w:r w:rsidR="00C72773" w:rsidRPr="00373D7C">
        <w:rPr>
          <w:rFonts w:cs="Arial"/>
          <w:sz w:val="24"/>
        </w:rPr>
        <w:t xml:space="preserve"> </w:t>
      </w:r>
      <w:r w:rsidR="002F02B9" w:rsidRPr="00373D7C">
        <w:rPr>
          <w:rFonts w:cs="Arial"/>
          <w:sz w:val="24"/>
        </w:rPr>
        <w:t>w</w:t>
      </w:r>
      <w:r w:rsidR="003F61D5" w:rsidRPr="00373D7C">
        <w:rPr>
          <w:rFonts w:cs="Arial"/>
          <w:sz w:val="24"/>
        </w:rPr>
        <w:t>hen</w:t>
      </w:r>
      <w:r w:rsidR="00C72773" w:rsidRPr="00373D7C">
        <w:rPr>
          <w:rFonts w:cs="Arial"/>
          <w:sz w:val="24"/>
        </w:rPr>
        <w:t xml:space="preserve"> it came to ensuring that people receive high quality information, advice</w:t>
      </w:r>
      <w:r w:rsidR="00BE5B48" w:rsidRPr="00373D7C">
        <w:rPr>
          <w:rFonts w:cs="Arial"/>
          <w:sz w:val="24"/>
        </w:rPr>
        <w:t>,</w:t>
      </w:r>
      <w:r w:rsidR="00C72773" w:rsidRPr="00373D7C">
        <w:rPr>
          <w:rFonts w:cs="Arial"/>
          <w:sz w:val="24"/>
        </w:rPr>
        <w:t xml:space="preserve"> and guidance.</w:t>
      </w:r>
    </w:p>
    <w:p w14:paraId="50F0CD41" w14:textId="77777777" w:rsidR="00042133" w:rsidRPr="00373D7C" w:rsidRDefault="00042133" w:rsidP="002217F7">
      <w:pPr>
        <w:rPr>
          <w:rFonts w:cs="Arial"/>
          <w:sz w:val="24"/>
        </w:rPr>
      </w:pPr>
    </w:p>
    <w:p w14:paraId="0B0E8453" w14:textId="03AF278C" w:rsidR="00AD27C0" w:rsidRPr="00373D7C" w:rsidRDefault="00AF2EDC" w:rsidP="002217F7">
      <w:pPr>
        <w:rPr>
          <w:rFonts w:cs="Arial"/>
          <w:sz w:val="24"/>
        </w:rPr>
      </w:pPr>
      <w:r w:rsidRPr="00373D7C">
        <w:rPr>
          <w:rFonts w:cs="Arial"/>
          <w:sz w:val="24"/>
        </w:rPr>
        <w:t xml:space="preserve">As part of the </w:t>
      </w:r>
      <w:r w:rsidR="00EF1771" w:rsidRPr="00373D7C">
        <w:rPr>
          <w:rFonts w:cs="Arial"/>
          <w:sz w:val="24"/>
        </w:rPr>
        <w:t>Growth Company’s contract</w:t>
      </w:r>
      <w:r w:rsidR="004847E8" w:rsidRPr="00373D7C">
        <w:rPr>
          <w:rFonts w:cs="Arial"/>
          <w:sz w:val="24"/>
        </w:rPr>
        <w:t xml:space="preserve"> </w:t>
      </w:r>
      <w:r w:rsidR="00CA41E9" w:rsidRPr="00373D7C">
        <w:rPr>
          <w:rFonts w:cs="Arial"/>
          <w:sz w:val="24"/>
        </w:rPr>
        <w:t>in 2019</w:t>
      </w:r>
      <w:r w:rsidR="007D508C" w:rsidRPr="00373D7C">
        <w:rPr>
          <w:rFonts w:cs="Arial"/>
          <w:sz w:val="24"/>
        </w:rPr>
        <w:t>-</w:t>
      </w:r>
      <w:r w:rsidR="00CA41E9" w:rsidRPr="00373D7C">
        <w:rPr>
          <w:rFonts w:cs="Arial"/>
          <w:sz w:val="24"/>
        </w:rPr>
        <w:t xml:space="preserve">20 a key deliverable </w:t>
      </w:r>
      <w:r w:rsidR="004847E8" w:rsidRPr="00373D7C">
        <w:rPr>
          <w:rFonts w:cs="Arial"/>
          <w:sz w:val="24"/>
        </w:rPr>
        <w:t xml:space="preserve">was </w:t>
      </w:r>
      <w:r w:rsidR="00CA41E9" w:rsidRPr="00373D7C">
        <w:rPr>
          <w:rFonts w:cs="Arial"/>
          <w:sz w:val="24"/>
        </w:rPr>
        <w:t>to review and revise</w:t>
      </w:r>
      <w:r w:rsidR="00042133" w:rsidRPr="00373D7C">
        <w:rPr>
          <w:rFonts w:cs="Arial"/>
          <w:sz w:val="24"/>
        </w:rPr>
        <w:t>,</w:t>
      </w:r>
      <w:r w:rsidR="00CA41E9" w:rsidRPr="00373D7C">
        <w:rPr>
          <w:rFonts w:cs="Arial"/>
          <w:sz w:val="24"/>
        </w:rPr>
        <w:t xml:space="preserve"> as appropriate, the Standard to ensure it remain</w:t>
      </w:r>
      <w:r w:rsidR="00C506D4" w:rsidRPr="00373D7C">
        <w:rPr>
          <w:rFonts w:cs="Arial"/>
          <w:sz w:val="24"/>
        </w:rPr>
        <w:t>s</w:t>
      </w:r>
      <w:r w:rsidR="00CA41E9" w:rsidRPr="00373D7C">
        <w:rPr>
          <w:rFonts w:cs="Arial"/>
          <w:sz w:val="24"/>
        </w:rPr>
        <w:t xml:space="preserve"> </w:t>
      </w:r>
      <w:r w:rsidR="004847E8" w:rsidRPr="00373D7C">
        <w:rPr>
          <w:rFonts w:cs="Arial"/>
          <w:sz w:val="24"/>
        </w:rPr>
        <w:t>at the foref</w:t>
      </w:r>
      <w:r w:rsidR="00042133" w:rsidRPr="00373D7C">
        <w:rPr>
          <w:rFonts w:cs="Arial"/>
          <w:sz w:val="24"/>
        </w:rPr>
        <w:t>r</w:t>
      </w:r>
      <w:r w:rsidR="004847E8" w:rsidRPr="00373D7C">
        <w:rPr>
          <w:rFonts w:cs="Arial"/>
          <w:sz w:val="24"/>
        </w:rPr>
        <w:t>ont of best practice</w:t>
      </w:r>
      <w:r w:rsidR="00CA41E9" w:rsidRPr="00373D7C">
        <w:rPr>
          <w:rFonts w:cs="Arial"/>
          <w:sz w:val="24"/>
        </w:rPr>
        <w:t xml:space="preserve"> within the sectors it supports and demonstrat</w:t>
      </w:r>
      <w:r w:rsidR="00214CB7" w:rsidRPr="00373D7C">
        <w:rPr>
          <w:rFonts w:cs="Arial"/>
          <w:sz w:val="24"/>
        </w:rPr>
        <w:t>ing</w:t>
      </w:r>
      <w:r w:rsidR="00CA41E9" w:rsidRPr="00373D7C">
        <w:rPr>
          <w:rFonts w:cs="Arial"/>
          <w:sz w:val="24"/>
        </w:rPr>
        <w:t xml:space="preserve"> alignment with other frameworks including the</w:t>
      </w:r>
      <w:r w:rsidR="00A15F6C" w:rsidRPr="00373D7C">
        <w:rPr>
          <w:rFonts w:cs="Arial"/>
          <w:sz w:val="24"/>
        </w:rPr>
        <w:t xml:space="preserve"> Gatsby Benchmarks for Good Careers Guidance and </w:t>
      </w:r>
      <w:r w:rsidR="00CA41E9" w:rsidRPr="00373D7C">
        <w:rPr>
          <w:rFonts w:cs="Arial"/>
          <w:sz w:val="24"/>
        </w:rPr>
        <w:t>Ofsted Education Inspection Framework</w:t>
      </w:r>
      <w:r w:rsidR="00654643" w:rsidRPr="00373D7C">
        <w:rPr>
          <w:rFonts w:cs="Arial"/>
          <w:sz w:val="24"/>
        </w:rPr>
        <w:t>.</w:t>
      </w:r>
      <w:r w:rsidR="00CA41E9" w:rsidRPr="00373D7C">
        <w:rPr>
          <w:rFonts w:cs="Arial"/>
          <w:sz w:val="24"/>
        </w:rPr>
        <w:t xml:space="preserve"> </w:t>
      </w:r>
    </w:p>
    <w:p w14:paraId="6A2ACED6" w14:textId="3146FAC1" w:rsidR="00855F42" w:rsidRPr="00C36FBC" w:rsidRDefault="00855F42" w:rsidP="000B550F">
      <w:pPr>
        <w:pStyle w:val="Heading1"/>
      </w:pPr>
      <w:bookmarkStart w:id="9" w:name="_Toc116456707"/>
      <w:bookmarkStart w:id="10" w:name="_Toc129688496"/>
      <w:r w:rsidRPr="00C36FBC">
        <w:t>Aim</w:t>
      </w:r>
      <w:bookmarkEnd w:id="9"/>
      <w:bookmarkEnd w:id="10"/>
    </w:p>
    <w:p w14:paraId="19784508" w14:textId="77777777" w:rsidR="009A4123" w:rsidRPr="00C36FBC" w:rsidRDefault="009A4123" w:rsidP="002217F7">
      <w:pPr>
        <w:rPr>
          <w:rFonts w:cs="Arial"/>
        </w:rPr>
      </w:pPr>
    </w:p>
    <w:p w14:paraId="074DE5ED" w14:textId="17D2E84D" w:rsidR="00855F42" w:rsidRPr="00373D7C" w:rsidRDefault="00042133" w:rsidP="002217F7">
      <w:pPr>
        <w:rPr>
          <w:rFonts w:cs="Arial"/>
          <w:sz w:val="24"/>
        </w:rPr>
      </w:pPr>
      <w:r w:rsidRPr="00373D7C">
        <w:rPr>
          <w:rFonts w:cs="Arial"/>
          <w:sz w:val="24"/>
        </w:rPr>
        <w:t>The aim of t</w:t>
      </w:r>
      <w:r w:rsidR="00182B13" w:rsidRPr="00373D7C">
        <w:rPr>
          <w:rFonts w:cs="Arial"/>
          <w:sz w:val="24"/>
        </w:rPr>
        <w:t>h</w:t>
      </w:r>
      <w:r w:rsidRPr="00373D7C">
        <w:rPr>
          <w:rFonts w:cs="Arial"/>
          <w:sz w:val="24"/>
        </w:rPr>
        <w:t>is Review was to</w:t>
      </w:r>
      <w:r w:rsidR="00855F42" w:rsidRPr="00373D7C">
        <w:rPr>
          <w:rFonts w:cs="Arial"/>
          <w:sz w:val="24"/>
        </w:rPr>
        <w:t xml:space="preserve"> update the Standard </w:t>
      </w:r>
      <w:r w:rsidRPr="00373D7C">
        <w:rPr>
          <w:rFonts w:cs="Arial"/>
          <w:sz w:val="24"/>
        </w:rPr>
        <w:t>and associated</w:t>
      </w:r>
      <w:r w:rsidR="00855F42" w:rsidRPr="00373D7C">
        <w:rPr>
          <w:rFonts w:cs="Arial"/>
          <w:sz w:val="24"/>
        </w:rPr>
        <w:t xml:space="preserve"> assessment process, so that it reflects best practice around the provision of IAG</w:t>
      </w:r>
      <w:r w:rsidR="00A179D2" w:rsidRPr="00373D7C">
        <w:rPr>
          <w:rFonts w:cs="Arial"/>
          <w:sz w:val="24"/>
        </w:rPr>
        <w:t>. This will ensure</w:t>
      </w:r>
      <w:r w:rsidRPr="00373D7C">
        <w:rPr>
          <w:rFonts w:cs="Arial"/>
          <w:sz w:val="24"/>
        </w:rPr>
        <w:t xml:space="preserve"> </w:t>
      </w:r>
      <w:r w:rsidR="00855F42" w:rsidRPr="00373D7C">
        <w:rPr>
          <w:rFonts w:cs="Arial"/>
          <w:sz w:val="24"/>
        </w:rPr>
        <w:t xml:space="preserve">a </w:t>
      </w:r>
      <w:r w:rsidRPr="00373D7C">
        <w:rPr>
          <w:rFonts w:cs="Arial"/>
          <w:sz w:val="24"/>
        </w:rPr>
        <w:t>S</w:t>
      </w:r>
      <w:r w:rsidR="00855F42" w:rsidRPr="00373D7C">
        <w:rPr>
          <w:rFonts w:cs="Arial"/>
          <w:sz w:val="24"/>
        </w:rPr>
        <w:t>tandard and accreditation process which is modern, complement</w:t>
      </w:r>
      <w:r w:rsidRPr="00373D7C">
        <w:rPr>
          <w:rFonts w:cs="Arial"/>
          <w:sz w:val="24"/>
        </w:rPr>
        <w:t>ary to</w:t>
      </w:r>
      <w:r w:rsidR="00855F42" w:rsidRPr="00373D7C">
        <w:rPr>
          <w:rFonts w:cs="Arial"/>
          <w:sz w:val="24"/>
        </w:rPr>
        <w:t xml:space="preserve"> and consistent with national IAG policy, engaging and driv</w:t>
      </w:r>
      <w:r w:rsidRPr="00373D7C">
        <w:rPr>
          <w:rFonts w:cs="Arial"/>
          <w:sz w:val="24"/>
        </w:rPr>
        <w:t>ing</w:t>
      </w:r>
      <w:r w:rsidR="00855F42" w:rsidRPr="00373D7C">
        <w:rPr>
          <w:rFonts w:cs="Arial"/>
          <w:sz w:val="24"/>
        </w:rPr>
        <w:t xml:space="preserve"> continuous improvement.</w:t>
      </w:r>
    </w:p>
    <w:p w14:paraId="527A6414" w14:textId="4A83D3A4" w:rsidR="00855F42" w:rsidRPr="00C36FBC" w:rsidRDefault="00855F42" w:rsidP="000B550F">
      <w:pPr>
        <w:pStyle w:val="Heading1"/>
      </w:pPr>
      <w:bookmarkStart w:id="11" w:name="_Toc116456708"/>
      <w:bookmarkStart w:id="12" w:name="_Toc129688497"/>
      <w:r w:rsidRPr="00C36FBC">
        <w:t>Objectives</w:t>
      </w:r>
      <w:bookmarkEnd w:id="11"/>
      <w:bookmarkEnd w:id="12"/>
    </w:p>
    <w:p w14:paraId="3E5B0B80" w14:textId="77777777" w:rsidR="009A4123" w:rsidRPr="00C36FBC" w:rsidRDefault="009A4123" w:rsidP="002217F7">
      <w:pPr>
        <w:rPr>
          <w:rFonts w:cs="Arial"/>
        </w:rPr>
      </w:pPr>
    </w:p>
    <w:p w14:paraId="4849482B" w14:textId="3038C47D" w:rsidR="00B715D4" w:rsidRPr="00373D7C" w:rsidRDefault="00B715D4" w:rsidP="00CA35D9">
      <w:pPr>
        <w:pStyle w:val="Bullet"/>
        <w:rPr>
          <w:sz w:val="24"/>
          <w:szCs w:val="24"/>
        </w:rPr>
      </w:pPr>
      <w:r w:rsidRPr="00373D7C">
        <w:rPr>
          <w:sz w:val="24"/>
          <w:szCs w:val="24"/>
        </w:rPr>
        <w:t>To update the Standard criteria, evidence requirements and the assessment process to reflect current best practice in IAG and assessment</w:t>
      </w:r>
      <w:r w:rsidR="0003367B" w:rsidRPr="00373D7C">
        <w:rPr>
          <w:sz w:val="24"/>
          <w:szCs w:val="24"/>
        </w:rPr>
        <w:t>.</w:t>
      </w:r>
    </w:p>
    <w:p w14:paraId="5BF84D77" w14:textId="060912F3" w:rsidR="00DF0EFF" w:rsidRPr="00373D7C" w:rsidRDefault="00DF0EFF" w:rsidP="00CA35D9">
      <w:pPr>
        <w:pStyle w:val="Bullet"/>
        <w:rPr>
          <w:sz w:val="24"/>
          <w:szCs w:val="24"/>
        </w:rPr>
      </w:pPr>
      <w:r w:rsidRPr="00373D7C">
        <w:rPr>
          <w:sz w:val="24"/>
          <w:szCs w:val="24"/>
        </w:rPr>
        <w:t>To engage and consult with stakeholders and customers to identify</w:t>
      </w:r>
      <w:r w:rsidR="0003367B" w:rsidRPr="00373D7C">
        <w:rPr>
          <w:sz w:val="24"/>
          <w:szCs w:val="24"/>
        </w:rPr>
        <w:t xml:space="preserve"> and test</w:t>
      </w:r>
      <w:r w:rsidRPr="00373D7C">
        <w:rPr>
          <w:sz w:val="24"/>
          <w:szCs w:val="24"/>
        </w:rPr>
        <w:t xml:space="preserve"> improvements and changes to the </w:t>
      </w:r>
      <w:r w:rsidR="0003367B" w:rsidRPr="00373D7C">
        <w:rPr>
          <w:sz w:val="24"/>
          <w:szCs w:val="24"/>
        </w:rPr>
        <w:t>S</w:t>
      </w:r>
      <w:r w:rsidRPr="00373D7C">
        <w:rPr>
          <w:sz w:val="24"/>
          <w:szCs w:val="24"/>
        </w:rPr>
        <w:t>tandard.</w:t>
      </w:r>
    </w:p>
    <w:p w14:paraId="2114B637" w14:textId="24C97C80" w:rsidR="00BE7B5A" w:rsidRPr="00373D7C" w:rsidRDefault="00DF0EFF" w:rsidP="00CA35D9">
      <w:pPr>
        <w:pStyle w:val="Bullet"/>
        <w:rPr>
          <w:sz w:val="24"/>
          <w:szCs w:val="24"/>
        </w:rPr>
      </w:pPr>
      <w:r w:rsidRPr="00373D7C">
        <w:rPr>
          <w:sz w:val="24"/>
          <w:szCs w:val="24"/>
        </w:rPr>
        <w:t xml:space="preserve">To align, where possible, with the revised Ofsted </w:t>
      </w:r>
      <w:r w:rsidR="0003367B" w:rsidRPr="00373D7C">
        <w:rPr>
          <w:sz w:val="24"/>
          <w:szCs w:val="24"/>
        </w:rPr>
        <w:t>Education</w:t>
      </w:r>
      <w:r w:rsidRPr="00373D7C">
        <w:rPr>
          <w:sz w:val="24"/>
          <w:szCs w:val="24"/>
        </w:rPr>
        <w:t xml:space="preserve"> Inspection Framework 2018/9, and the Gatsby </w:t>
      </w:r>
      <w:r w:rsidR="0003367B" w:rsidRPr="00373D7C">
        <w:rPr>
          <w:sz w:val="24"/>
          <w:szCs w:val="24"/>
        </w:rPr>
        <w:t>B</w:t>
      </w:r>
      <w:r w:rsidRPr="00373D7C">
        <w:rPr>
          <w:sz w:val="24"/>
          <w:szCs w:val="24"/>
        </w:rPr>
        <w:t>enchmarks.</w:t>
      </w:r>
    </w:p>
    <w:p w14:paraId="5FC0AC6A" w14:textId="547BE5E8" w:rsidR="00DF0EFF" w:rsidRPr="00373D7C" w:rsidRDefault="00C608CF" w:rsidP="00CA35D9">
      <w:pPr>
        <w:pStyle w:val="Bullet"/>
        <w:rPr>
          <w:sz w:val="24"/>
          <w:szCs w:val="24"/>
        </w:rPr>
      </w:pPr>
      <w:r w:rsidRPr="00373D7C">
        <w:rPr>
          <w:sz w:val="24"/>
          <w:szCs w:val="24"/>
        </w:rPr>
        <w:t>To ensure the Standard appeals to the diverse audience of providers engaged in the provision of</w:t>
      </w:r>
      <w:r w:rsidR="0003367B" w:rsidRPr="00373D7C">
        <w:rPr>
          <w:sz w:val="24"/>
          <w:szCs w:val="24"/>
        </w:rPr>
        <w:t xml:space="preserve"> IAG.</w:t>
      </w:r>
    </w:p>
    <w:p w14:paraId="17D5F447" w14:textId="77777777" w:rsidR="00373D7C" w:rsidRDefault="00373D7C">
      <w:pPr>
        <w:jc w:val="left"/>
        <w:rPr>
          <w:rFonts w:asciiTheme="majorHAnsi" w:eastAsiaTheme="majorEastAsia" w:hAnsiTheme="majorHAnsi" w:cstheme="majorBidi"/>
          <w:bCs/>
          <w:color w:val="003087"/>
          <w:sz w:val="40"/>
          <w:szCs w:val="40"/>
        </w:rPr>
      </w:pPr>
      <w:bookmarkStart w:id="13" w:name="_Toc116456709"/>
      <w:r>
        <w:br w:type="page"/>
      </w:r>
    </w:p>
    <w:p w14:paraId="1DEF6735" w14:textId="21781BF9" w:rsidR="00855F42" w:rsidRPr="00C36FBC" w:rsidRDefault="006A0B8A" w:rsidP="000B550F">
      <w:pPr>
        <w:pStyle w:val="Heading1"/>
      </w:pPr>
      <w:bookmarkStart w:id="14" w:name="_Toc129688498"/>
      <w:r w:rsidRPr="00C36FBC">
        <w:lastRenderedPageBreak/>
        <w:t>Methodology</w:t>
      </w:r>
      <w:bookmarkEnd w:id="13"/>
      <w:bookmarkEnd w:id="14"/>
    </w:p>
    <w:p w14:paraId="7069C72E" w14:textId="678CB436" w:rsidR="006A0B8A" w:rsidRPr="00C36FBC" w:rsidRDefault="006A0B8A" w:rsidP="002217F7">
      <w:pPr>
        <w:rPr>
          <w:rFonts w:cs="Arial"/>
        </w:rPr>
      </w:pPr>
    </w:p>
    <w:p w14:paraId="0ED2ECEF" w14:textId="5008459C" w:rsidR="00C4488F" w:rsidRPr="00373D7C" w:rsidRDefault="001E0006" w:rsidP="002217F7">
      <w:pPr>
        <w:rPr>
          <w:rFonts w:cs="Arial"/>
          <w:sz w:val="24"/>
        </w:rPr>
      </w:pPr>
      <w:r w:rsidRPr="00373D7C">
        <w:rPr>
          <w:rFonts w:cs="Arial"/>
          <w:sz w:val="24"/>
        </w:rPr>
        <w:t>Over the period from November 2020 to</w:t>
      </w:r>
      <w:r w:rsidR="00B35BC2" w:rsidRPr="00373D7C">
        <w:rPr>
          <w:rFonts w:cs="Arial"/>
          <w:sz w:val="24"/>
        </w:rPr>
        <w:t xml:space="preserve"> </w:t>
      </w:r>
      <w:r w:rsidR="006E22BB" w:rsidRPr="00373D7C">
        <w:rPr>
          <w:rFonts w:cs="Arial"/>
          <w:sz w:val="24"/>
        </w:rPr>
        <w:t>October 2022</w:t>
      </w:r>
      <w:r w:rsidRPr="00373D7C">
        <w:rPr>
          <w:rFonts w:cs="Arial"/>
          <w:sz w:val="24"/>
        </w:rPr>
        <w:t xml:space="preserve"> a</w:t>
      </w:r>
      <w:r w:rsidR="0003367B" w:rsidRPr="00373D7C">
        <w:rPr>
          <w:rFonts w:cs="Arial"/>
          <w:sz w:val="24"/>
        </w:rPr>
        <w:t xml:space="preserve"> range of approaches and strategies were employed</w:t>
      </w:r>
      <w:r w:rsidR="00C4488F" w:rsidRPr="00373D7C">
        <w:rPr>
          <w:rFonts w:cs="Arial"/>
          <w:sz w:val="24"/>
        </w:rPr>
        <w:t xml:space="preserve"> to review the Standard. These were</w:t>
      </w:r>
      <w:r w:rsidR="00977534" w:rsidRPr="00373D7C">
        <w:rPr>
          <w:rFonts w:cs="Arial"/>
          <w:sz w:val="24"/>
        </w:rPr>
        <w:t>:</w:t>
      </w:r>
    </w:p>
    <w:p w14:paraId="5F0C2D3E" w14:textId="77777777" w:rsidR="00461E47" w:rsidRDefault="00461E47" w:rsidP="00461E47">
      <w:pPr>
        <w:pStyle w:val="Bullet"/>
        <w:numPr>
          <w:ilvl w:val="0"/>
          <w:numId w:val="0"/>
        </w:numPr>
        <w:ind w:left="720"/>
        <w:rPr>
          <w:sz w:val="24"/>
          <w:szCs w:val="24"/>
        </w:rPr>
      </w:pPr>
    </w:p>
    <w:p w14:paraId="62B9F139" w14:textId="46EF2285" w:rsidR="008D3A24" w:rsidRPr="00373D7C" w:rsidRDefault="00C608CF" w:rsidP="00CA35D9">
      <w:pPr>
        <w:pStyle w:val="Bullet"/>
        <w:rPr>
          <w:sz w:val="24"/>
          <w:szCs w:val="24"/>
        </w:rPr>
      </w:pPr>
      <w:r w:rsidRPr="00373D7C">
        <w:rPr>
          <w:sz w:val="24"/>
          <w:szCs w:val="24"/>
        </w:rPr>
        <w:t xml:space="preserve">The establishment of </w:t>
      </w:r>
      <w:r w:rsidR="003F4F12" w:rsidRPr="00373D7C">
        <w:rPr>
          <w:sz w:val="24"/>
          <w:szCs w:val="24"/>
        </w:rPr>
        <w:t xml:space="preserve">an Executive Group </w:t>
      </w:r>
      <w:r w:rsidR="00A14397" w:rsidRPr="00373D7C">
        <w:rPr>
          <w:sz w:val="24"/>
          <w:szCs w:val="24"/>
        </w:rPr>
        <w:t>t</w:t>
      </w:r>
      <w:r w:rsidR="00273FE4" w:rsidRPr="00373D7C">
        <w:rPr>
          <w:sz w:val="24"/>
          <w:szCs w:val="24"/>
        </w:rPr>
        <w:t xml:space="preserve">o </w:t>
      </w:r>
      <w:r w:rsidR="005200E5" w:rsidRPr="00373D7C">
        <w:rPr>
          <w:sz w:val="24"/>
          <w:szCs w:val="24"/>
        </w:rPr>
        <w:t>support the decision process</w:t>
      </w:r>
      <w:r w:rsidR="00D71B52" w:rsidRPr="00373D7C">
        <w:rPr>
          <w:sz w:val="24"/>
          <w:szCs w:val="24"/>
        </w:rPr>
        <w:t xml:space="preserve"> and agree changes to the </w:t>
      </w:r>
      <w:r w:rsidR="003B67CA" w:rsidRPr="00373D7C">
        <w:rPr>
          <w:sz w:val="24"/>
          <w:szCs w:val="24"/>
        </w:rPr>
        <w:t>Standard, and</w:t>
      </w:r>
      <w:r w:rsidR="003F4F12" w:rsidRPr="00373D7C">
        <w:rPr>
          <w:sz w:val="24"/>
          <w:szCs w:val="24"/>
        </w:rPr>
        <w:t xml:space="preserve"> </w:t>
      </w:r>
      <w:r w:rsidR="008D3A24" w:rsidRPr="00373D7C">
        <w:rPr>
          <w:sz w:val="24"/>
          <w:szCs w:val="24"/>
        </w:rPr>
        <w:t>an Advisory Group</w:t>
      </w:r>
      <w:r w:rsidR="007D72A9" w:rsidRPr="00373D7C">
        <w:rPr>
          <w:sz w:val="24"/>
          <w:szCs w:val="24"/>
        </w:rPr>
        <w:t xml:space="preserve"> to</w:t>
      </w:r>
      <w:r w:rsidR="00082241" w:rsidRPr="00373D7C">
        <w:rPr>
          <w:sz w:val="24"/>
          <w:szCs w:val="24"/>
        </w:rPr>
        <w:t xml:space="preserve"> </w:t>
      </w:r>
      <w:r w:rsidR="000D3820" w:rsidRPr="00373D7C">
        <w:rPr>
          <w:sz w:val="24"/>
          <w:szCs w:val="24"/>
        </w:rPr>
        <w:t xml:space="preserve">provide detailed feedback </w:t>
      </w:r>
      <w:r w:rsidR="00EB2CE3" w:rsidRPr="00373D7C">
        <w:rPr>
          <w:sz w:val="24"/>
          <w:szCs w:val="24"/>
        </w:rPr>
        <w:t>and feed into the development of the revised Standard</w:t>
      </w:r>
      <w:r w:rsidR="007D72A9" w:rsidRPr="00373D7C">
        <w:rPr>
          <w:sz w:val="24"/>
          <w:szCs w:val="24"/>
        </w:rPr>
        <w:t>. R</w:t>
      </w:r>
      <w:r w:rsidR="000016C1" w:rsidRPr="00373D7C">
        <w:rPr>
          <w:sz w:val="24"/>
          <w:szCs w:val="24"/>
        </w:rPr>
        <w:t xml:space="preserve">epresentatives </w:t>
      </w:r>
      <w:r w:rsidR="007D72A9" w:rsidRPr="00373D7C">
        <w:rPr>
          <w:sz w:val="24"/>
          <w:szCs w:val="24"/>
        </w:rPr>
        <w:t xml:space="preserve">to both groups </w:t>
      </w:r>
      <w:r w:rsidR="008F4A6C" w:rsidRPr="00373D7C">
        <w:rPr>
          <w:sz w:val="24"/>
          <w:szCs w:val="24"/>
        </w:rPr>
        <w:t xml:space="preserve">came </w:t>
      </w:r>
      <w:r w:rsidR="000016C1" w:rsidRPr="00373D7C">
        <w:rPr>
          <w:sz w:val="24"/>
          <w:szCs w:val="24"/>
        </w:rPr>
        <w:t>from diverse organisations</w:t>
      </w:r>
      <w:r w:rsidR="00EB2CE3" w:rsidRPr="00373D7C">
        <w:rPr>
          <w:sz w:val="24"/>
          <w:szCs w:val="24"/>
        </w:rPr>
        <w:t>, including</w:t>
      </w:r>
      <w:r w:rsidR="00B16760" w:rsidRPr="00373D7C">
        <w:rPr>
          <w:sz w:val="24"/>
          <w:szCs w:val="24"/>
        </w:rPr>
        <w:t xml:space="preserve"> </w:t>
      </w:r>
      <w:r w:rsidR="00CD2728" w:rsidRPr="00373D7C">
        <w:rPr>
          <w:sz w:val="24"/>
          <w:szCs w:val="24"/>
        </w:rPr>
        <w:t>l</w:t>
      </w:r>
      <w:r w:rsidR="00A678A1" w:rsidRPr="00373D7C">
        <w:rPr>
          <w:sz w:val="24"/>
          <w:szCs w:val="24"/>
        </w:rPr>
        <w:t>ocal Authorities, Association of Colleges</w:t>
      </w:r>
      <w:r w:rsidR="00BF14D4" w:rsidRPr="00373D7C">
        <w:rPr>
          <w:sz w:val="24"/>
          <w:szCs w:val="24"/>
        </w:rPr>
        <w:t xml:space="preserve">, Careers </w:t>
      </w:r>
      <w:r w:rsidR="00B72709" w:rsidRPr="00373D7C">
        <w:rPr>
          <w:sz w:val="24"/>
          <w:szCs w:val="24"/>
        </w:rPr>
        <w:t xml:space="preserve">Companies, </w:t>
      </w:r>
      <w:r w:rsidR="07C03E66" w:rsidRPr="00373D7C">
        <w:rPr>
          <w:sz w:val="24"/>
          <w:szCs w:val="24"/>
        </w:rPr>
        <w:t>National</w:t>
      </w:r>
      <w:r w:rsidR="13E54D3C" w:rsidRPr="00373D7C">
        <w:rPr>
          <w:sz w:val="24"/>
          <w:szCs w:val="24"/>
        </w:rPr>
        <w:t xml:space="preserve"> Careers Service </w:t>
      </w:r>
      <w:r w:rsidR="17BF7C71" w:rsidRPr="00373D7C">
        <w:rPr>
          <w:sz w:val="24"/>
          <w:szCs w:val="24"/>
        </w:rPr>
        <w:t xml:space="preserve">Contractors </w:t>
      </w:r>
      <w:r w:rsidR="00B72709" w:rsidRPr="00373D7C">
        <w:rPr>
          <w:sz w:val="24"/>
          <w:szCs w:val="24"/>
        </w:rPr>
        <w:t>and</w:t>
      </w:r>
      <w:r w:rsidR="00EF19D0" w:rsidRPr="00373D7C">
        <w:rPr>
          <w:sz w:val="24"/>
          <w:szCs w:val="24"/>
        </w:rPr>
        <w:t xml:space="preserve"> C</w:t>
      </w:r>
      <w:r w:rsidR="00C579F2" w:rsidRPr="00373D7C">
        <w:rPr>
          <w:sz w:val="24"/>
          <w:szCs w:val="24"/>
        </w:rPr>
        <w:t>areer Development Institute</w:t>
      </w:r>
      <w:r w:rsidR="00CD2728" w:rsidRPr="00373D7C">
        <w:rPr>
          <w:sz w:val="24"/>
          <w:szCs w:val="24"/>
        </w:rPr>
        <w:t>.</w:t>
      </w:r>
    </w:p>
    <w:p w14:paraId="6B70CE95" w14:textId="4B1B45EE" w:rsidR="006E337A" w:rsidRPr="00373D7C" w:rsidRDefault="00182B13" w:rsidP="00CA35D9">
      <w:pPr>
        <w:pStyle w:val="Bullet"/>
        <w:rPr>
          <w:sz w:val="24"/>
          <w:szCs w:val="24"/>
        </w:rPr>
      </w:pPr>
      <w:r w:rsidRPr="00373D7C">
        <w:rPr>
          <w:sz w:val="24"/>
          <w:szCs w:val="24"/>
        </w:rPr>
        <w:t xml:space="preserve">Use of online </w:t>
      </w:r>
      <w:r w:rsidR="006E337A" w:rsidRPr="00373D7C">
        <w:rPr>
          <w:sz w:val="24"/>
          <w:szCs w:val="24"/>
        </w:rPr>
        <w:t xml:space="preserve">surveys </w:t>
      </w:r>
      <w:r w:rsidRPr="00373D7C">
        <w:rPr>
          <w:sz w:val="24"/>
          <w:szCs w:val="24"/>
        </w:rPr>
        <w:t>to gather opinion from</w:t>
      </w:r>
      <w:r w:rsidR="00154D93" w:rsidRPr="00373D7C">
        <w:rPr>
          <w:sz w:val="24"/>
          <w:szCs w:val="24"/>
        </w:rPr>
        <w:t xml:space="preserve"> </w:t>
      </w:r>
      <w:r w:rsidR="00F274E6" w:rsidRPr="00373D7C">
        <w:rPr>
          <w:sz w:val="24"/>
          <w:szCs w:val="24"/>
        </w:rPr>
        <w:t xml:space="preserve">customers and </w:t>
      </w:r>
      <w:r w:rsidRPr="00373D7C">
        <w:rPr>
          <w:b/>
          <w:bCs/>
          <w:sz w:val="24"/>
          <w:szCs w:val="24"/>
        </w:rPr>
        <w:t xml:space="preserve">matrix </w:t>
      </w:r>
      <w:r w:rsidRPr="00373D7C">
        <w:rPr>
          <w:sz w:val="24"/>
          <w:szCs w:val="24"/>
        </w:rPr>
        <w:t>Practitioners</w:t>
      </w:r>
      <w:r w:rsidR="003F4F12" w:rsidRPr="00373D7C">
        <w:rPr>
          <w:sz w:val="24"/>
          <w:szCs w:val="24"/>
        </w:rPr>
        <w:t>.</w:t>
      </w:r>
    </w:p>
    <w:p w14:paraId="7F5E4814" w14:textId="7130970F" w:rsidR="008D3A24" w:rsidRPr="00373D7C" w:rsidRDefault="008D3A24" w:rsidP="00CA35D9">
      <w:pPr>
        <w:pStyle w:val="Bullet"/>
        <w:rPr>
          <w:sz w:val="24"/>
          <w:szCs w:val="24"/>
        </w:rPr>
      </w:pPr>
      <w:r w:rsidRPr="00373D7C">
        <w:rPr>
          <w:sz w:val="24"/>
          <w:szCs w:val="24"/>
        </w:rPr>
        <w:t xml:space="preserve">A </w:t>
      </w:r>
      <w:r w:rsidR="00BB4444" w:rsidRPr="00373D7C">
        <w:rPr>
          <w:sz w:val="24"/>
          <w:szCs w:val="24"/>
        </w:rPr>
        <w:t>L</w:t>
      </w:r>
      <w:r w:rsidRPr="00373D7C">
        <w:rPr>
          <w:sz w:val="24"/>
          <w:szCs w:val="24"/>
        </w:rPr>
        <w:t>iterature Review</w:t>
      </w:r>
      <w:r w:rsidR="00FE6968" w:rsidRPr="00373D7C">
        <w:rPr>
          <w:sz w:val="24"/>
          <w:szCs w:val="24"/>
        </w:rPr>
        <w:t xml:space="preserve"> to identify the key features of good quality Information, Advice and Guidance (</w:t>
      </w:r>
      <w:r w:rsidR="006E22BB" w:rsidRPr="00373D7C">
        <w:rPr>
          <w:sz w:val="24"/>
          <w:szCs w:val="24"/>
        </w:rPr>
        <w:t>IAG) carried</w:t>
      </w:r>
      <w:r w:rsidRPr="00373D7C">
        <w:rPr>
          <w:sz w:val="24"/>
          <w:szCs w:val="24"/>
        </w:rPr>
        <w:t xml:space="preserve"> out between </w:t>
      </w:r>
      <w:r w:rsidR="00A73293" w:rsidRPr="00373D7C">
        <w:rPr>
          <w:sz w:val="24"/>
          <w:szCs w:val="24"/>
        </w:rPr>
        <w:t>January 2021 and September 2021</w:t>
      </w:r>
      <w:r w:rsidR="003F4F12" w:rsidRPr="00373D7C">
        <w:rPr>
          <w:sz w:val="24"/>
          <w:szCs w:val="24"/>
        </w:rPr>
        <w:t>.</w:t>
      </w:r>
    </w:p>
    <w:p w14:paraId="5CA6B612" w14:textId="1B2F8478" w:rsidR="008D3A24" w:rsidRPr="00373D7C" w:rsidRDefault="00182B13" w:rsidP="00CA35D9">
      <w:pPr>
        <w:pStyle w:val="Bullet"/>
        <w:rPr>
          <w:sz w:val="24"/>
          <w:szCs w:val="24"/>
        </w:rPr>
      </w:pPr>
      <w:r w:rsidRPr="00373D7C">
        <w:rPr>
          <w:sz w:val="24"/>
          <w:szCs w:val="24"/>
        </w:rPr>
        <w:t>Consultation through one-to-one in-depth interviews across the Advisory Group</w:t>
      </w:r>
      <w:r w:rsidR="003F4F12" w:rsidRPr="00373D7C">
        <w:rPr>
          <w:sz w:val="24"/>
          <w:szCs w:val="24"/>
        </w:rPr>
        <w:t>.</w:t>
      </w:r>
    </w:p>
    <w:p w14:paraId="06D6E288" w14:textId="6D44EBF3" w:rsidR="00575A94" w:rsidRPr="00373D7C" w:rsidRDefault="00575A94" w:rsidP="00CA35D9">
      <w:pPr>
        <w:pStyle w:val="Bullet"/>
        <w:rPr>
          <w:sz w:val="24"/>
          <w:szCs w:val="24"/>
        </w:rPr>
      </w:pPr>
      <w:r w:rsidRPr="00373D7C">
        <w:rPr>
          <w:sz w:val="24"/>
          <w:szCs w:val="24"/>
        </w:rPr>
        <w:t>Consultation with relevant sector bodies</w:t>
      </w:r>
      <w:r w:rsidR="00D42E13" w:rsidRPr="00373D7C">
        <w:rPr>
          <w:sz w:val="24"/>
          <w:szCs w:val="24"/>
        </w:rPr>
        <w:t>.</w:t>
      </w:r>
    </w:p>
    <w:p w14:paraId="4BF80FCA" w14:textId="4F7672F4" w:rsidR="008D3A24" w:rsidRPr="00373D7C" w:rsidRDefault="008D3A24" w:rsidP="00CA35D9">
      <w:pPr>
        <w:pStyle w:val="Bullet"/>
        <w:rPr>
          <w:sz w:val="24"/>
          <w:szCs w:val="24"/>
        </w:rPr>
      </w:pPr>
      <w:r w:rsidRPr="00373D7C">
        <w:rPr>
          <w:sz w:val="24"/>
          <w:szCs w:val="24"/>
        </w:rPr>
        <w:t>Focus Groups with</w:t>
      </w:r>
      <w:r w:rsidR="006D3288" w:rsidRPr="00373D7C">
        <w:rPr>
          <w:sz w:val="24"/>
          <w:szCs w:val="24"/>
        </w:rPr>
        <w:t xml:space="preserve"> all</w:t>
      </w:r>
      <w:r w:rsidRPr="00373D7C">
        <w:rPr>
          <w:sz w:val="24"/>
          <w:szCs w:val="24"/>
        </w:rPr>
        <w:t xml:space="preserve"> </w:t>
      </w:r>
      <w:r w:rsidRPr="00373D7C">
        <w:rPr>
          <w:b/>
          <w:bCs/>
          <w:sz w:val="24"/>
          <w:szCs w:val="24"/>
        </w:rPr>
        <w:t>matrix</w:t>
      </w:r>
      <w:r w:rsidRPr="00373D7C">
        <w:rPr>
          <w:sz w:val="24"/>
          <w:szCs w:val="24"/>
        </w:rPr>
        <w:t xml:space="preserve"> </w:t>
      </w:r>
      <w:r w:rsidR="00182B13" w:rsidRPr="00373D7C">
        <w:rPr>
          <w:sz w:val="24"/>
          <w:szCs w:val="24"/>
        </w:rPr>
        <w:t>P</w:t>
      </w:r>
      <w:r w:rsidRPr="00373D7C">
        <w:rPr>
          <w:sz w:val="24"/>
          <w:szCs w:val="24"/>
        </w:rPr>
        <w:t>ractitioners</w:t>
      </w:r>
      <w:r w:rsidR="003F4F12" w:rsidRPr="00373D7C">
        <w:rPr>
          <w:sz w:val="24"/>
          <w:szCs w:val="24"/>
        </w:rPr>
        <w:t>.</w:t>
      </w:r>
    </w:p>
    <w:p w14:paraId="09A29973" w14:textId="35DE6585" w:rsidR="00C957BD" w:rsidRPr="00373D7C" w:rsidRDefault="003F4F12" w:rsidP="00CA35D9">
      <w:pPr>
        <w:pStyle w:val="Bullet"/>
        <w:rPr>
          <w:sz w:val="24"/>
          <w:szCs w:val="24"/>
        </w:rPr>
      </w:pPr>
      <w:r w:rsidRPr="00373D7C">
        <w:rPr>
          <w:sz w:val="24"/>
          <w:szCs w:val="24"/>
        </w:rPr>
        <w:t>Staged d</w:t>
      </w:r>
      <w:r w:rsidR="00182B13" w:rsidRPr="00373D7C">
        <w:rPr>
          <w:sz w:val="24"/>
          <w:szCs w:val="24"/>
        </w:rPr>
        <w:t>evelopment and testing of alpha and beta versions</w:t>
      </w:r>
      <w:r w:rsidRPr="00373D7C">
        <w:rPr>
          <w:sz w:val="24"/>
          <w:szCs w:val="24"/>
        </w:rPr>
        <w:t>.</w:t>
      </w:r>
    </w:p>
    <w:p w14:paraId="4532E8D6" w14:textId="2A97A82E" w:rsidR="00C957BD" w:rsidRPr="00373D7C" w:rsidRDefault="00C957BD" w:rsidP="00CA35D9">
      <w:pPr>
        <w:pStyle w:val="Bullet"/>
        <w:rPr>
          <w:sz w:val="24"/>
          <w:szCs w:val="24"/>
        </w:rPr>
      </w:pPr>
      <w:r w:rsidRPr="00373D7C">
        <w:rPr>
          <w:sz w:val="24"/>
          <w:szCs w:val="24"/>
        </w:rPr>
        <w:t xml:space="preserve">Piloting of the </w:t>
      </w:r>
      <w:r w:rsidR="002B4037" w:rsidRPr="00373D7C">
        <w:rPr>
          <w:sz w:val="24"/>
          <w:szCs w:val="24"/>
        </w:rPr>
        <w:t xml:space="preserve">alpha and </w:t>
      </w:r>
      <w:r w:rsidR="003F4F12" w:rsidRPr="00373D7C">
        <w:rPr>
          <w:sz w:val="24"/>
          <w:szCs w:val="24"/>
        </w:rPr>
        <w:t xml:space="preserve">beta </w:t>
      </w:r>
      <w:r w:rsidRPr="00373D7C">
        <w:rPr>
          <w:sz w:val="24"/>
          <w:szCs w:val="24"/>
        </w:rPr>
        <w:t>version</w:t>
      </w:r>
      <w:r w:rsidR="001D405F" w:rsidRPr="00373D7C">
        <w:rPr>
          <w:sz w:val="24"/>
          <w:szCs w:val="24"/>
        </w:rPr>
        <w:t xml:space="preserve"> with</w:t>
      </w:r>
      <w:r w:rsidR="00154D93" w:rsidRPr="00373D7C">
        <w:rPr>
          <w:sz w:val="24"/>
          <w:szCs w:val="24"/>
        </w:rPr>
        <w:t xml:space="preserve"> a range of </w:t>
      </w:r>
      <w:r w:rsidR="00BE6689" w:rsidRPr="00373D7C">
        <w:rPr>
          <w:sz w:val="24"/>
          <w:szCs w:val="24"/>
        </w:rPr>
        <w:t>organisations between</w:t>
      </w:r>
      <w:r w:rsidR="008B2E22" w:rsidRPr="00373D7C">
        <w:rPr>
          <w:sz w:val="24"/>
          <w:szCs w:val="24"/>
        </w:rPr>
        <w:t xml:space="preserve"> July 2021 to </w:t>
      </w:r>
      <w:r w:rsidR="002709EF" w:rsidRPr="00373D7C">
        <w:rPr>
          <w:sz w:val="24"/>
          <w:szCs w:val="24"/>
        </w:rPr>
        <w:t>April 2022</w:t>
      </w:r>
      <w:r w:rsidR="003F4F12" w:rsidRPr="00373D7C">
        <w:rPr>
          <w:sz w:val="24"/>
          <w:szCs w:val="24"/>
        </w:rPr>
        <w:t>.</w:t>
      </w:r>
    </w:p>
    <w:p w14:paraId="5EACFECA" w14:textId="1C80A4B8" w:rsidR="008D3A24" w:rsidRPr="00373D7C" w:rsidRDefault="00C957BD" w:rsidP="00CA35D9">
      <w:pPr>
        <w:pStyle w:val="Bullet"/>
        <w:rPr>
          <w:sz w:val="24"/>
          <w:szCs w:val="24"/>
        </w:rPr>
      </w:pPr>
      <w:r w:rsidRPr="00373D7C">
        <w:rPr>
          <w:sz w:val="24"/>
          <w:szCs w:val="24"/>
        </w:rPr>
        <w:t xml:space="preserve">Final </w:t>
      </w:r>
      <w:r w:rsidR="003F4F12" w:rsidRPr="00373D7C">
        <w:rPr>
          <w:sz w:val="24"/>
          <w:szCs w:val="24"/>
        </w:rPr>
        <w:t>c</w:t>
      </w:r>
      <w:r w:rsidRPr="00373D7C">
        <w:rPr>
          <w:sz w:val="24"/>
          <w:szCs w:val="24"/>
        </w:rPr>
        <w:t>hanges</w:t>
      </w:r>
      <w:r w:rsidR="008B2E22" w:rsidRPr="00373D7C">
        <w:rPr>
          <w:sz w:val="24"/>
          <w:szCs w:val="24"/>
        </w:rPr>
        <w:t xml:space="preserve"> </w:t>
      </w:r>
      <w:r w:rsidR="003F4F12" w:rsidRPr="00373D7C">
        <w:rPr>
          <w:sz w:val="24"/>
          <w:szCs w:val="24"/>
        </w:rPr>
        <w:t xml:space="preserve">made </w:t>
      </w:r>
      <w:r w:rsidR="008B2E22" w:rsidRPr="00373D7C">
        <w:rPr>
          <w:sz w:val="24"/>
          <w:szCs w:val="24"/>
        </w:rPr>
        <w:t xml:space="preserve">in </w:t>
      </w:r>
      <w:r w:rsidR="00780E73" w:rsidRPr="00373D7C">
        <w:rPr>
          <w:sz w:val="24"/>
          <w:szCs w:val="24"/>
        </w:rPr>
        <w:t>May</w:t>
      </w:r>
      <w:r w:rsidR="008B2E22" w:rsidRPr="00373D7C">
        <w:rPr>
          <w:sz w:val="24"/>
          <w:szCs w:val="24"/>
        </w:rPr>
        <w:t xml:space="preserve"> 2022</w:t>
      </w:r>
      <w:r w:rsidR="00945B6D" w:rsidRPr="00373D7C">
        <w:rPr>
          <w:sz w:val="24"/>
          <w:szCs w:val="24"/>
        </w:rPr>
        <w:t>.</w:t>
      </w:r>
    </w:p>
    <w:p w14:paraId="04D2384D" w14:textId="2D7A7C30" w:rsidR="0080723A" w:rsidRPr="00373D7C" w:rsidRDefault="0080723A" w:rsidP="00CA35D9">
      <w:pPr>
        <w:pStyle w:val="Bullet"/>
        <w:rPr>
          <w:sz w:val="24"/>
          <w:szCs w:val="24"/>
        </w:rPr>
      </w:pPr>
      <w:r w:rsidRPr="00373D7C">
        <w:rPr>
          <w:sz w:val="24"/>
          <w:szCs w:val="24"/>
        </w:rPr>
        <w:t>Final Report for DfE</w:t>
      </w:r>
      <w:r w:rsidR="00470BA6" w:rsidRPr="00373D7C">
        <w:rPr>
          <w:sz w:val="24"/>
          <w:szCs w:val="24"/>
        </w:rPr>
        <w:t xml:space="preserve"> with recommendation</w:t>
      </w:r>
      <w:r w:rsidR="0082479A" w:rsidRPr="00373D7C">
        <w:rPr>
          <w:sz w:val="24"/>
          <w:szCs w:val="24"/>
        </w:rPr>
        <w:t xml:space="preserve"> for approval</w:t>
      </w:r>
      <w:r w:rsidRPr="00373D7C">
        <w:rPr>
          <w:sz w:val="24"/>
          <w:szCs w:val="24"/>
        </w:rPr>
        <w:t xml:space="preserve"> November 2022</w:t>
      </w:r>
      <w:r w:rsidR="002B0E6E" w:rsidRPr="00373D7C">
        <w:rPr>
          <w:sz w:val="24"/>
          <w:szCs w:val="24"/>
        </w:rPr>
        <w:t>.</w:t>
      </w:r>
    </w:p>
    <w:p w14:paraId="329F2C61" w14:textId="1211EC75" w:rsidR="00BE7B5A" w:rsidRPr="00C36FBC" w:rsidRDefault="008D3A24" w:rsidP="000B550F">
      <w:pPr>
        <w:pStyle w:val="Heading1"/>
      </w:pPr>
      <w:bookmarkStart w:id="15" w:name="_Toc116456710"/>
      <w:bookmarkStart w:id="16" w:name="_Toc129688499"/>
      <w:r w:rsidRPr="00C36FBC">
        <w:t>Governance</w:t>
      </w:r>
      <w:bookmarkEnd w:id="15"/>
      <w:bookmarkEnd w:id="16"/>
    </w:p>
    <w:p w14:paraId="06623FA4" w14:textId="77777777" w:rsidR="008D3A24" w:rsidRPr="00C36FBC" w:rsidRDefault="008D3A24" w:rsidP="002217F7">
      <w:pPr>
        <w:rPr>
          <w:rFonts w:cs="Arial"/>
        </w:rPr>
      </w:pPr>
    </w:p>
    <w:p w14:paraId="6C6ABE2B" w14:textId="77777777" w:rsidR="00575A94" w:rsidRPr="000B550F" w:rsidRDefault="00575A94" w:rsidP="000B550F">
      <w:pPr>
        <w:pStyle w:val="Heading2"/>
      </w:pPr>
      <w:bookmarkStart w:id="17" w:name="_Toc116456711"/>
      <w:bookmarkStart w:id="18" w:name="_Toc117261910"/>
      <w:r w:rsidRPr="000B550F">
        <w:t>Executive Group</w:t>
      </w:r>
      <w:bookmarkEnd w:id="17"/>
      <w:bookmarkEnd w:id="18"/>
    </w:p>
    <w:p w14:paraId="1F765B42" w14:textId="792D1673" w:rsidR="00BE7B5A" w:rsidRPr="00F50BCE" w:rsidRDefault="008D3A24" w:rsidP="002217F7">
      <w:pPr>
        <w:rPr>
          <w:rFonts w:cs="Arial"/>
          <w:sz w:val="24"/>
        </w:rPr>
      </w:pPr>
      <w:r w:rsidRPr="00F50BCE">
        <w:rPr>
          <w:rFonts w:cs="Arial"/>
          <w:sz w:val="24"/>
        </w:rPr>
        <w:t>The review was overseen by an Executive Group</w:t>
      </w:r>
      <w:r w:rsidR="003F4F12" w:rsidRPr="00F50BCE">
        <w:rPr>
          <w:rFonts w:cs="Arial"/>
          <w:sz w:val="24"/>
        </w:rPr>
        <w:t xml:space="preserve"> comprising</w:t>
      </w:r>
      <w:r w:rsidR="00FB2B3A" w:rsidRPr="00F50BCE">
        <w:rPr>
          <w:rFonts w:cs="Arial"/>
          <w:sz w:val="24"/>
        </w:rPr>
        <w:t>:</w:t>
      </w:r>
    </w:p>
    <w:p w14:paraId="7CE1F6D9" w14:textId="025666E3" w:rsidR="003F4F12" w:rsidRPr="00F50BCE" w:rsidRDefault="003F4F12" w:rsidP="00CA35D9">
      <w:pPr>
        <w:pStyle w:val="Bullet"/>
        <w:rPr>
          <w:sz w:val="24"/>
          <w:szCs w:val="24"/>
        </w:rPr>
      </w:pPr>
      <w:r w:rsidRPr="00F50BCE">
        <w:rPr>
          <w:sz w:val="24"/>
          <w:szCs w:val="24"/>
        </w:rPr>
        <w:t>Dr Deirdre Hughes OBE</w:t>
      </w:r>
      <w:r w:rsidR="00B50CC7" w:rsidRPr="00F50BCE">
        <w:rPr>
          <w:sz w:val="24"/>
          <w:szCs w:val="24"/>
        </w:rPr>
        <w:t xml:space="preserve">, </w:t>
      </w:r>
      <w:r w:rsidR="00152FD1" w:rsidRPr="00F50BCE">
        <w:rPr>
          <w:sz w:val="24"/>
          <w:szCs w:val="24"/>
        </w:rPr>
        <w:t xml:space="preserve">CEO, </w:t>
      </w:r>
      <w:r w:rsidR="00B50CC7" w:rsidRPr="00F50BCE">
        <w:rPr>
          <w:sz w:val="24"/>
          <w:szCs w:val="24"/>
        </w:rPr>
        <w:t>DMH Associates</w:t>
      </w:r>
      <w:r w:rsidR="006D774F" w:rsidRPr="00F50BCE">
        <w:rPr>
          <w:sz w:val="24"/>
          <w:szCs w:val="24"/>
        </w:rPr>
        <w:t>,</w:t>
      </w:r>
      <w:r w:rsidRPr="00F50BCE">
        <w:rPr>
          <w:sz w:val="24"/>
          <w:szCs w:val="24"/>
        </w:rPr>
        <w:t xml:space="preserve"> (Chair)</w:t>
      </w:r>
    </w:p>
    <w:p w14:paraId="04433D5C" w14:textId="7506DE45" w:rsidR="007B34FB" w:rsidRPr="00F50BCE" w:rsidRDefault="00F77D23" w:rsidP="00CA35D9">
      <w:pPr>
        <w:pStyle w:val="Bullet"/>
        <w:rPr>
          <w:sz w:val="24"/>
          <w:szCs w:val="24"/>
        </w:rPr>
      </w:pPr>
      <w:r w:rsidRPr="00F50BCE">
        <w:rPr>
          <w:sz w:val="24"/>
          <w:szCs w:val="24"/>
        </w:rPr>
        <w:t>Jen</w:t>
      </w:r>
      <w:r w:rsidR="00947F8A" w:rsidRPr="00F50BCE">
        <w:rPr>
          <w:sz w:val="24"/>
          <w:szCs w:val="24"/>
        </w:rPr>
        <w:t>n</w:t>
      </w:r>
      <w:r w:rsidRPr="00F50BCE">
        <w:rPr>
          <w:sz w:val="24"/>
          <w:szCs w:val="24"/>
        </w:rPr>
        <w:t xml:space="preserve">ifer </w:t>
      </w:r>
      <w:r w:rsidR="00712C0A" w:rsidRPr="00F50BCE">
        <w:rPr>
          <w:sz w:val="24"/>
          <w:szCs w:val="24"/>
        </w:rPr>
        <w:t>Wallis</w:t>
      </w:r>
      <w:r w:rsidR="007A6E3D" w:rsidRPr="00F50BCE">
        <w:rPr>
          <w:sz w:val="24"/>
          <w:szCs w:val="24"/>
        </w:rPr>
        <w:t xml:space="preserve"> Policy Adviser</w:t>
      </w:r>
      <w:r w:rsidR="00553DD0" w:rsidRPr="00F50BCE">
        <w:rPr>
          <w:sz w:val="24"/>
          <w:szCs w:val="24"/>
        </w:rPr>
        <w:t xml:space="preserve">, </w:t>
      </w:r>
      <w:r w:rsidR="007B34FB" w:rsidRPr="00F50BCE">
        <w:rPr>
          <w:sz w:val="24"/>
          <w:szCs w:val="24"/>
        </w:rPr>
        <w:t>Department for Education</w:t>
      </w:r>
      <w:r w:rsidR="00947E6F" w:rsidRPr="00F50BCE">
        <w:rPr>
          <w:sz w:val="24"/>
          <w:szCs w:val="24"/>
        </w:rPr>
        <w:t xml:space="preserve">, </w:t>
      </w:r>
      <w:r w:rsidR="00324340" w:rsidRPr="00F50BCE">
        <w:rPr>
          <w:sz w:val="24"/>
          <w:szCs w:val="24"/>
        </w:rPr>
        <w:t>Careers Unit</w:t>
      </w:r>
    </w:p>
    <w:p w14:paraId="61130559" w14:textId="06680CF6" w:rsidR="007B34FB" w:rsidRPr="00F50BCE" w:rsidRDefault="00F77D23" w:rsidP="00CA35D9">
      <w:pPr>
        <w:pStyle w:val="Bullet"/>
        <w:rPr>
          <w:sz w:val="24"/>
          <w:szCs w:val="24"/>
        </w:rPr>
      </w:pPr>
      <w:r w:rsidRPr="00F50BCE">
        <w:rPr>
          <w:sz w:val="24"/>
          <w:szCs w:val="24"/>
        </w:rPr>
        <w:t xml:space="preserve">Julia Waterhouse, </w:t>
      </w:r>
      <w:r w:rsidR="00152FD1" w:rsidRPr="00F50BCE">
        <w:rPr>
          <w:sz w:val="24"/>
          <w:szCs w:val="24"/>
        </w:rPr>
        <w:t xml:space="preserve">Senior Manager, </w:t>
      </w:r>
      <w:r w:rsidR="007B34FB" w:rsidRPr="00F50BCE">
        <w:rPr>
          <w:sz w:val="24"/>
          <w:szCs w:val="24"/>
        </w:rPr>
        <w:t>National Careers Service</w:t>
      </w:r>
    </w:p>
    <w:p w14:paraId="31C109DD" w14:textId="77777777" w:rsidR="007B34FB" w:rsidRPr="00F50BCE" w:rsidRDefault="007B34FB" w:rsidP="00CA35D9">
      <w:pPr>
        <w:pStyle w:val="Bullet"/>
        <w:rPr>
          <w:sz w:val="24"/>
          <w:szCs w:val="24"/>
        </w:rPr>
      </w:pPr>
      <w:r w:rsidRPr="00F50BCE">
        <w:rPr>
          <w:sz w:val="24"/>
          <w:szCs w:val="24"/>
        </w:rPr>
        <w:t>Carolyn Parry, President, Career Development Institute</w:t>
      </w:r>
    </w:p>
    <w:p w14:paraId="55A437A7" w14:textId="77777777" w:rsidR="007B34FB" w:rsidRPr="00F50BCE" w:rsidRDefault="007B34FB" w:rsidP="00CA35D9">
      <w:pPr>
        <w:pStyle w:val="Bullet"/>
        <w:rPr>
          <w:sz w:val="24"/>
          <w:szCs w:val="24"/>
        </w:rPr>
      </w:pPr>
      <w:r w:rsidRPr="00F50BCE">
        <w:rPr>
          <w:sz w:val="24"/>
          <w:szCs w:val="24"/>
        </w:rPr>
        <w:t>Scott Parkin, CEO, Institute of Employability Professionals</w:t>
      </w:r>
    </w:p>
    <w:p w14:paraId="616F7CF8" w14:textId="77777777" w:rsidR="004407B5" w:rsidRPr="00F50BCE" w:rsidRDefault="007B34FB" w:rsidP="00CA35D9">
      <w:pPr>
        <w:pStyle w:val="Bullet"/>
        <w:rPr>
          <w:sz w:val="24"/>
          <w:szCs w:val="24"/>
        </w:rPr>
      </w:pPr>
      <w:r w:rsidRPr="00F50BCE">
        <w:rPr>
          <w:sz w:val="24"/>
          <w:szCs w:val="24"/>
        </w:rPr>
        <w:t>Kieran Gordon, Executive Director</w:t>
      </w:r>
      <w:r w:rsidR="003F4F12" w:rsidRPr="00F50BCE">
        <w:rPr>
          <w:sz w:val="24"/>
          <w:szCs w:val="24"/>
        </w:rPr>
        <w:t xml:space="preserve">, </w:t>
      </w:r>
      <w:r w:rsidRPr="00F50BCE">
        <w:rPr>
          <w:sz w:val="24"/>
          <w:szCs w:val="24"/>
        </w:rPr>
        <w:t>Careers England</w:t>
      </w:r>
    </w:p>
    <w:p w14:paraId="6A6265F3" w14:textId="77777777" w:rsidR="00625BCA" w:rsidRPr="00F50BCE" w:rsidRDefault="004407B5" w:rsidP="00CA35D9">
      <w:pPr>
        <w:pStyle w:val="Bullet"/>
        <w:rPr>
          <w:sz w:val="24"/>
          <w:szCs w:val="24"/>
        </w:rPr>
      </w:pPr>
      <w:r w:rsidRPr="00F50BCE">
        <w:rPr>
          <w:sz w:val="24"/>
          <w:szCs w:val="24"/>
        </w:rPr>
        <w:t>Kathy Leahy</w:t>
      </w:r>
      <w:r w:rsidR="00625BCA" w:rsidRPr="00F50BCE">
        <w:rPr>
          <w:sz w:val="24"/>
          <w:szCs w:val="24"/>
        </w:rPr>
        <w:t xml:space="preserve">, External </w:t>
      </w:r>
      <w:proofErr w:type="gramStart"/>
      <w:r w:rsidR="00625BCA" w:rsidRPr="00F50BCE">
        <w:rPr>
          <w:sz w:val="24"/>
          <w:szCs w:val="24"/>
        </w:rPr>
        <w:t>Verifier</w:t>
      </w:r>
      <w:proofErr w:type="gramEnd"/>
      <w:r w:rsidR="00625BCA" w:rsidRPr="00F50BCE">
        <w:rPr>
          <w:sz w:val="24"/>
          <w:szCs w:val="24"/>
        </w:rPr>
        <w:t xml:space="preserve"> and Independent Assessor</w:t>
      </w:r>
    </w:p>
    <w:p w14:paraId="58BB43BC" w14:textId="77777777" w:rsidR="0083450A" w:rsidRPr="00F50BCE" w:rsidRDefault="0083450A" w:rsidP="00CA35D9">
      <w:pPr>
        <w:pStyle w:val="Bullet"/>
        <w:rPr>
          <w:sz w:val="24"/>
          <w:szCs w:val="24"/>
        </w:rPr>
      </w:pPr>
      <w:r w:rsidRPr="00F50BCE">
        <w:rPr>
          <w:sz w:val="24"/>
          <w:szCs w:val="24"/>
        </w:rPr>
        <w:t>Chris Jones, Director, Growth Company</w:t>
      </w:r>
    </w:p>
    <w:p w14:paraId="1A97BA89" w14:textId="41CE019E" w:rsidR="00BE7B5A" w:rsidRPr="00F50BCE" w:rsidRDefault="0083450A" w:rsidP="00CA35D9">
      <w:pPr>
        <w:pStyle w:val="Bullet"/>
        <w:rPr>
          <w:sz w:val="24"/>
          <w:szCs w:val="24"/>
        </w:rPr>
      </w:pPr>
      <w:r w:rsidRPr="00F50BCE">
        <w:rPr>
          <w:sz w:val="24"/>
          <w:szCs w:val="24"/>
        </w:rPr>
        <w:t>Roger Chapman, Head of Service, Growth Company</w:t>
      </w:r>
    </w:p>
    <w:p w14:paraId="16036D72" w14:textId="77777777" w:rsidR="00C957BD" w:rsidRPr="00C36FBC" w:rsidRDefault="00C957BD" w:rsidP="002217F7">
      <w:pPr>
        <w:rPr>
          <w:rFonts w:cs="Arial"/>
        </w:rPr>
      </w:pPr>
    </w:p>
    <w:p w14:paraId="5594823E" w14:textId="173D4079" w:rsidR="0024099C" w:rsidRPr="00F50BCE" w:rsidRDefault="001B26E5" w:rsidP="002217F7">
      <w:pPr>
        <w:rPr>
          <w:rFonts w:cs="Arial"/>
          <w:sz w:val="24"/>
        </w:rPr>
      </w:pPr>
      <w:r w:rsidRPr="00F50BCE">
        <w:rPr>
          <w:rFonts w:cs="Arial"/>
          <w:sz w:val="24"/>
        </w:rPr>
        <w:t>T</w:t>
      </w:r>
      <w:r w:rsidR="008D3A24" w:rsidRPr="00F50BCE">
        <w:rPr>
          <w:rFonts w:cs="Arial"/>
          <w:sz w:val="24"/>
        </w:rPr>
        <w:t xml:space="preserve">he Executive Group </w:t>
      </w:r>
      <w:r w:rsidR="004B37A6" w:rsidRPr="00F50BCE">
        <w:rPr>
          <w:rFonts w:cs="Arial"/>
          <w:color w:val="000000" w:themeColor="text1"/>
          <w:sz w:val="24"/>
        </w:rPr>
        <w:t>support</w:t>
      </w:r>
      <w:r w:rsidRPr="00F50BCE">
        <w:rPr>
          <w:rFonts w:cs="Arial"/>
          <w:color w:val="000000" w:themeColor="text1"/>
          <w:sz w:val="24"/>
        </w:rPr>
        <w:t>ed</w:t>
      </w:r>
      <w:r w:rsidR="004B37A6" w:rsidRPr="00F50BCE">
        <w:rPr>
          <w:rFonts w:cs="Arial"/>
          <w:color w:val="000000" w:themeColor="text1"/>
          <w:sz w:val="24"/>
        </w:rPr>
        <w:t xml:space="preserve"> the decision-making process and had the authority to accept or reject advice from </w:t>
      </w:r>
      <w:r w:rsidR="00717440" w:rsidRPr="00F50BCE">
        <w:rPr>
          <w:rFonts w:cs="Arial"/>
          <w:color w:val="000000" w:themeColor="text1"/>
          <w:sz w:val="24"/>
        </w:rPr>
        <w:t xml:space="preserve">various stakeholders and approve </w:t>
      </w:r>
      <w:r w:rsidR="00516C81" w:rsidRPr="00F50BCE">
        <w:rPr>
          <w:rFonts w:cs="Arial"/>
          <w:color w:val="000000" w:themeColor="text1"/>
          <w:sz w:val="24"/>
        </w:rPr>
        <w:t>changes to the Standard and the assessment process</w:t>
      </w:r>
      <w:r w:rsidR="00575A94" w:rsidRPr="00F50BCE">
        <w:rPr>
          <w:rFonts w:cs="Arial"/>
          <w:color w:val="000000" w:themeColor="text1"/>
          <w:sz w:val="24"/>
        </w:rPr>
        <w:t>.</w:t>
      </w:r>
      <w:r w:rsidR="004B37A6" w:rsidRPr="00F50BCE">
        <w:rPr>
          <w:rFonts w:cs="Arial"/>
          <w:color w:val="000000" w:themeColor="text1"/>
          <w:sz w:val="24"/>
        </w:rPr>
        <w:t xml:space="preserve"> The Executive Group was selected by </w:t>
      </w:r>
      <w:r w:rsidRPr="00F50BCE">
        <w:rPr>
          <w:rFonts w:cs="Arial"/>
          <w:color w:val="000000" w:themeColor="text1"/>
          <w:sz w:val="24"/>
        </w:rPr>
        <w:t xml:space="preserve">the </w:t>
      </w:r>
      <w:r w:rsidR="004B37A6" w:rsidRPr="00F50BCE">
        <w:rPr>
          <w:rFonts w:cs="Arial"/>
          <w:color w:val="000000" w:themeColor="text1"/>
          <w:sz w:val="24"/>
        </w:rPr>
        <w:t>G</w:t>
      </w:r>
      <w:r w:rsidRPr="00F50BCE">
        <w:rPr>
          <w:rFonts w:cs="Arial"/>
          <w:color w:val="000000" w:themeColor="text1"/>
          <w:sz w:val="24"/>
        </w:rPr>
        <w:t xml:space="preserve">rowth </w:t>
      </w:r>
      <w:r w:rsidR="004B37A6" w:rsidRPr="00F50BCE">
        <w:rPr>
          <w:rFonts w:cs="Arial"/>
          <w:color w:val="000000" w:themeColor="text1"/>
          <w:sz w:val="24"/>
        </w:rPr>
        <w:t>C</w:t>
      </w:r>
      <w:r w:rsidRPr="00F50BCE">
        <w:rPr>
          <w:rFonts w:cs="Arial"/>
          <w:color w:val="000000" w:themeColor="text1"/>
          <w:sz w:val="24"/>
        </w:rPr>
        <w:t>ompany</w:t>
      </w:r>
      <w:r w:rsidR="004B37A6" w:rsidRPr="00F50BCE">
        <w:rPr>
          <w:rFonts w:cs="Arial"/>
          <w:color w:val="000000" w:themeColor="text1"/>
          <w:sz w:val="24"/>
        </w:rPr>
        <w:t xml:space="preserve"> in consultation with DfE, and its composition reflected the needs of the project by including a broad range of interests</w:t>
      </w:r>
      <w:r w:rsidR="00575A94" w:rsidRPr="00F50BCE">
        <w:rPr>
          <w:rFonts w:cs="Arial"/>
          <w:color w:val="000000" w:themeColor="text1"/>
          <w:sz w:val="24"/>
        </w:rPr>
        <w:t xml:space="preserve">. </w:t>
      </w:r>
      <w:r w:rsidR="00516C81" w:rsidRPr="00F50BCE">
        <w:rPr>
          <w:rFonts w:cs="Arial"/>
          <w:color w:val="000000" w:themeColor="text1"/>
          <w:sz w:val="24"/>
        </w:rPr>
        <w:t>Other</w:t>
      </w:r>
      <w:r w:rsidR="004B37A6" w:rsidRPr="00F50BCE">
        <w:rPr>
          <w:rFonts w:cs="Arial"/>
          <w:color w:val="000000" w:themeColor="text1"/>
          <w:sz w:val="24"/>
        </w:rPr>
        <w:t xml:space="preserve"> responsibilities </w:t>
      </w:r>
      <w:r w:rsidR="008613F6" w:rsidRPr="00F50BCE">
        <w:rPr>
          <w:rFonts w:cs="Arial"/>
          <w:color w:val="000000" w:themeColor="text1"/>
          <w:sz w:val="24"/>
        </w:rPr>
        <w:t>included</w:t>
      </w:r>
      <w:r w:rsidR="004B37A6" w:rsidRPr="00F50BCE">
        <w:rPr>
          <w:rFonts w:cs="Arial"/>
          <w:color w:val="000000" w:themeColor="text1"/>
          <w:sz w:val="24"/>
        </w:rPr>
        <w:t xml:space="preserve"> defin</w:t>
      </w:r>
      <w:r w:rsidR="00770A6A" w:rsidRPr="00F50BCE">
        <w:rPr>
          <w:rFonts w:cs="Arial"/>
          <w:color w:val="000000" w:themeColor="text1"/>
          <w:sz w:val="24"/>
        </w:rPr>
        <w:t>ing</w:t>
      </w:r>
      <w:r w:rsidR="004B37A6" w:rsidRPr="00F50BCE">
        <w:rPr>
          <w:rFonts w:cs="Arial"/>
          <w:color w:val="000000" w:themeColor="text1"/>
          <w:sz w:val="24"/>
        </w:rPr>
        <w:t xml:space="preserve"> the roles and responsibilities in the </w:t>
      </w:r>
      <w:r w:rsidR="00ED3326" w:rsidRPr="00F50BCE">
        <w:rPr>
          <w:rFonts w:cs="Arial"/>
          <w:color w:val="000000" w:themeColor="text1"/>
          <w:sz w:val="24"/>
        </w:rPr>
        <w:t>R</w:t>
      </w:r>
      <w:r w:rsidR="004B37A6" w:rsidRPr="00F50BCE">
        <w:rPr>
          <w:rFonts w:cs="Arial"/>
          <w:color w:val="000000" w:themeColor="text1"/>
          <w:sz w:val="24"/>
        </w:rPr>
        <w:t>eview process, conduct</w:t>
      </w:r>
      <w:r w:rsidR="00770A6A" w:rsidRPr="00F50BCE">
        <w:rPr>
          <w:rFonts w:cs="Arial"/>
          <w:color w:val="000000" w:themeColor="text1"/>
          <w:sz w:val="24"/>
        </w:rPr>
        <w:t>ing</w:t>
      </w:r>
      <w:r w:rsidR="004B37A6" w:rsidRPr="00F50BCE">
        <w:rPr>
          <w:rFonts w:cs="Arial"/>
          <w:color w:val="000000" w:themeColor="text1"/>
          <w:sz w:val="24"/>
        </w:rPr>
        <w:t xml:space="preserve"> a </w:t>
      </w:r>
      <w:r w:rsidR="00770A6A" w:rsidRPr="00F50BCE">
        <w:rPr>
          <w:rFonts w:cs="Arial"/>
          <w:color w:val="000000" w:themeColor="text1"/>
          <w:sz w:val="24"/>
        </w:rPr>
        <w:t>review of the strengths, weakness</w:t>
      </w:r>
      <w:r w:rsidR="004B37A6" w:rsidRPr="00F50BCE">
        <w:rPr>
          <w:rFonts w:cs="Arial"/>
          <w:color w:val="000000" w:themeColor="text1"/>
          <w:sz w:val="24"/>
        </w:rPr>
        <w:t>,</w:t>
      </w:r>
      <w:r w:rsidR="00770A6A" w:rsidRPr="00F50BCE">
        <w:rPr>
          <w:rFonts w:cs="Arial"/>
          <w:color w:val="000000" w:themeColor="text1"/>
          <w:sz w:val="24"/>
        </w:rPr>
        <w:t xml:space="preserve"> opportunities and threats</w:t>
      </w:r>
      <w:r w:rsidR="002E0977" w:rsidRPr="00F50BCE">
        <w:rPr>
          <w:rFonts w:cs="Arial"/>
          <w:color w:val="000000" w:themeColor="text1"/>
          <w:sz w:val="24"/>
        </w:rPr>
        <w:t xml:space="preserve">, </w:t>
      </w:r>
      <w:r w:rsidR="004B37A6" w:rsidRPr="00F50BCE">
        <w:rPr>
          <w:rFonts w:cs="Arial"/>
          <w:color w:val="000000" w:themeColor="text1"/>
          <w:sz w:val="24"/>
        </w:rPr>
        <w:t xml:space="preserve">and </w:t>
      </w:r>
      <w:r w:rsidR="009D4AA4" w:rsidRPr="00F50BCE">
        <w:rPr>
          <w:rFonts w:cs="Arial"/>
          <w:color w:val="000000" w:themeColor="text1"/>
          <w:sz w:val="24"/>
        </w:rPr>
        <w:t>registering and reviewing the</w:t>
      </w:r>
      <w:r w:rsidR="004B37A6" w:rsidRPr="00F50BCE">
        <w:rPr>
          <w:rFonts w:cs="Arial"/>
          <w:color w:val="000000" w:themeColor="text1"/>
          <w:sz w:val="24"/>
        </w:rPr>
        <w:t xml:space="preserve"> risk</w:t>
      </w:r>
      <w:r w:rsidR="009D4AA4" w:rsidRPr="00F50BCE">
        <w:rPr>
          <w:rFonts w:cs="Arial"/>
          <w:color w:val="000000" w:themeColor="text1"/>
          <w:sz w:val="24"/>
        </w:rPr>
        <w:t>s associated with</w:t>
      </w:r>
      <w:r w:rsidR="004B37A6" w:rsidRPr="00F50BCE">
        <w:rPr>
          <w:rFonts w:cs="Arial"/>
          <w:color w:val="000000" w:themeColor="text1"/>
          <w:sz w:val="24"/>
        </w:rPr>
        <w:t xml:space="preserve"> the project.</w:t>
      </w:r>
      <w:r w:rsidR="00B71DE3" w:rsidRPr="00F50BCE">
        <w:rPr>
          <w:rFonts w:cs="Arial"/>
          <w:sz w:val="24"/>
        </w:rPr>
        <w:t xml:space="preserve"> </w:t>
      </w:r>
      <w:r w:rsidR="00575A94" w:rsidRPr="00F50BCE">
        <w:rPr>
          <w:rFonts w:cs="Arial"/>
          <w:sz w:val="24"/>
        </w:rPr>
        <w:t>Reputational, marketing and alignment r</w:t>
      </w:r>
      <w:r w:rsidR="00B71DE3" w:rsidRPr="00F50BCE">
        <w:rPr>
          <w:rFonts w:cs="Arial"/>
          <w:sz w:val="24"/>
        </w:rPr>
        <w:t>isks were covered</w:t>
      </w:r>
      <w:r w:rsidR="00575A94" w:rsidRPr="00F50BCE">
        <w:rPr>
          <w:rFonts w:cs="Arial"/>
          <w:sz w:val="24"/>
        </w:rPr>
        <w:t>.</w:t>
      </w:r>
    </w:p>
    <w:p w14:paraId="4E408EC1" w14:textId="1720D0C2" w:rsidR="00A4141B" w:rsidRPr="00C36FBC" w:rsidRDefault="00A4141B" w:rsidP="006C484E">
      <w:pPr>
        <w:rPr>
          <w:rFonts w:eastAsiaTheme="majorEastAsia"/>
        </w:rPr>
      </w:pPr>
    </w:p>
    <w:p w14:paraId="7EEECA91" w14:textId="77777777" w:rsidR="00373D7C" w:rsidRDefault="00373D7C">
      <w:pPr>
        <w:jc w:val="left"/>
        <w:rPr>
          <w:rFonts w:asciiTheme="majorHAnsi" w:eastAsiaTheme="majorEastAsia" w:hAnsiTheme="majorHAnsi" w:cstheme="majorBidi"/>
          <w:bCs/>
          <w:color w:val="003087"/>
          <w:sz w:val="28"/>
          <w:szCs w:val="28"/>
        </w:rPr>
      </w:pPr>
      <w:bookmarkStart w:id="19" w:name="_Toc116456712"/>
      <w:bookmarkStart w:id="20" w:name="_Toc117261911"/>
      <w:r>
        <w:br w:type="page"/>
      </w:r>
    </w:p>
    <w:p w14:paraId="3393E4BA" w14:textId="349CD046" w:rsidR="00001EB4" w:rsidRPr="00C36FBC" w:rsidRDefault="00001EB4" w:rsidP="000B550F">
      <w:pPr>
        <w:pStyle w:val="Heading2"/>
      </w:pPr>
      <w:r w:rsidRPr="00C36FBC">
        <w:lastRenderedPageBreak/>
        <w:t>Advisory Group</w:t>
      </w:r>
      <w:bookmarkEnd w:id="19"/>
      <w:bookmarkEnd w:id="20"/>
    </w:p>
    <w:p w14:paraId="49DBDF27" w14:textId="696C7B4B" w:rsidR="00BE7B5A" w:rsidRPr="00694338" w:rsidRDefault="00001EB4" w:rsidP="002217F7">
      <w:pPr>
        <w:rPr>
          <w:rFonts w:cs="Arial"/>
          <w:sz w:val="24"/>
        </w:rPr>
      </w:pPr>
      <w:r w:rsidRPr="00694338">
        <w:rPr>
          <w:rFonts w:cs="Arial"/>
          <w:sz w:val="24"/>
        </w:rPr>
        <w:t>An Advisory Group of 36 organisations including accredited and non-accredited IAG service providers</w:t>
      </w:r>
      <w:r w:rsidR="00105DE5" w:rsidRPr="00694338">
        <w:rPr>
          <w:rFonts w:cs="Arial"/>
          <w:sz w:val="24"/>
        </w:rPr>
        <w:t>,</w:t>
      </w:r>
      <w:r w:rsidRPr="00694338">
        <w:rPr>
          <w:rFonts w:cs="Arial"/>
          <w:sz w:val="24"/>
        </w:rPr>
        <w:t xml:space="preserve"> </w:t>
      </w:r>
      <w:r w:rsidR="00105DE5" w:rsidRPr="00694338">
        <w:rPr>
          <w:rFonts w:cs="Arial"/>
          <w:sz w:val="24"/>
        </w:rPr>
        <w:t xml:space="preserve">professional bodies, research organisations, organisations involved in supporting the quality and inspection of IAG services and </w:t>
      </w:r>
      <w:r w:rsidR="00105DE5" w:rsidRPr="00694338">
        <w:rPr>
          <w:rFonts w:cs="Arial"/>
          <w:b/>
          <w:bCs/>
          <w:sz w:val="24"/>
        </w:rPr>
        <w:t>matrix</w:t>
      </w:r>
      <w:r w:rsidR="00105DE5" w:rsidRPr="00694338">
        <w:rPr>
          <w:rFonts w:cs="Arial"/>
          <w:sz w:val="24"/>
        </w:rPr>
        <w:t xml:space="preserve"> Practitioners </w:t>
      </w:r>
      <w:r w:rsidRPr="00694338">
        <w:rPr>
          <w:rFonts w:cs="Arial"/>
          <w:sz w:val="24"/>
        </w:rPr>
        <w:t>was formed to provide detailed feedback and insight into the use of the Standard in their sectors.</w:t>
      </w:r>
      <w:r w:rsidR="00105DE5" w:rsidRPr="00694338">
        <w:rPr>
          <w:rFonts w:cs="Arial"/>
          <w:sz w:val="24"/>
        </w:rPr>
        <w:t xml:space="preserve"> Members are listed at </w:t>
      </w:r>
      <w:hyperlink w:anchor="_Appendix_1_–Advisory" w:history="1">
        <w:r w:rsidR="00105DE5" w:rsidRPr="00694338">
          <w:rPr>
            <w:rStyle w:val="Hyperlink"/>
            <w:rFonts w:cs="Arial"/>
            <w:sz w:val="24"/>
          </w:rPr>
          <w:t>Appendix 1</w:t>
        </w:r>
      </w:hyperlink>
      <w:r w:rsidR="00105DE5" w:rsidRPr="00694338">
        <w:rPr>
          <w:rFonts w:cs="Arial"/>
          <w:sz w:val="24"/>
        </w:rPr>
        <w:t>.</w:t>
      </w:r>
    </w:p>
    <w:p w14:paraId="132EFC91" w14:textId="77777777" w:rsidR="00001EB4" w:rsidRPr="00694338" w:rsidRDefault="00001EB4" w:rsidP="002217F7">
      <w:pPr>
        <w:rPr>
          <w:rFonts w:cs="Arial"/>
          <w:sz w:val="24"/>
        </w:rPr>
      </w:pPr>
    </w:p>
    <w:p w14:paraId="0C9C0206" w14:textId="29FBA431" w:rsidR="00001EB4" w:rsidRPr="00694338" w:rsidRDefault="00001EB4" w:rsidP="002217F7">
      <w:pPr>
        <w:rPr>
          <w:rFonts w:cs="Arial"/>
          <w:sz w:val="24"/>
        </w:rPr>
      </w:pPr>
      <w:r w:rsidRPr="00694338">
        <w:rPr>
          <w:rFonts w:cs="Arial"/>
          <w:sz w:val="24"/>
        </w:rPr>
        <w:t>The remit of the Advisory Group was:</w:t>
      </w:r>
    </w:p>
    <w:p w14:paraId="04F52F05" w14:textId="509F98A3" w:rsidR="00001EB4" w:rsidRPr="00694338" w:rsidRDefault="00001EB4" w:rsidP="00CA35D9">
      <w:pPr>
        <w:pStyle w:val="Number"/>
        <w:numPr>
          <w:ilvl w:val="0"/>
          <w:numId w:val="73"/>
        </w:numPr>
        <w:rPr>
          <w:sz w:val="24"/>
          <w:szCs w:val="24"/>
        </w:rPr>
      </w:pPr>
      <w:r w:rsidRPr="00694338">
        <w:rPr>
          <w:sz w:val="24"/>
          <w:szCs w:val="24"/>
        </w:rPr>
        <w:t>To provide feedback on the strengths, weaknesses, opportunities</w:t>
      </w:r>
      <w:r w:rsidR="0041356C" w:rsidRPr="00694338">
        <w:rPr>
          <w:sz w:val="24"/>
          <w:szCs w:val="24"/>
        </w:rPr>
        <w:t>,</w:t>
      </w:r>
      <w:r w:rsidRPr="00694338">
        <w:rPr>
          <w:sz w:val="24"/>
          <w:szCs w:val="24"/>
        </w:rPr>
        <w:t xml:space="preserve"> and threats to the </w:t>
      </w:r>
      <w:r w:rsidR="00105DE5" w:rsidRPr="00694338">
        <w:rPr>
          <w:sz w:val="24"/>
          <w:szCs w:val="24"/>
        </w:rPr>
        <w:t>S</w:t>
      </w:r>
      <w:r w:rsidRPr="00694338">
        <w:rPr>
          <w:sz w:val="24"/>
          <w:szCs w:val="24"/>
        </w:rPr>
        <w:t>tandard</w:t>
      </w:r>
      <w:r w:rsidR="00105DE5" w:rsidRPr="00694338">
        <w:rPr>
          <w:sz w:val="24"/>
          <w:szCs w:val="24"/>
        </w:rPr>
        <w:t>.</w:t>
      </w:r>
    </w:p>
    <w:p w14:paraId="4D197BA7" w14:textId="02B8B96C" w:rsidR="00001EB4" w:rsidRPr="00694338" w:rsidRDefault="00001EB4" w:rsidP="00CA35D9">
      <w:pPr>
        <w:pStyle w:val="Number"/>
        <w:rPr>
          <w:sz w:val="24"/>
          <w:szCs w:val="24"/>
        </w:rPr>
      </w:pPr>
      <w:r w:rsidRPr="00694338">
        <w:rPr>
          <w:sz w:val="24"/>
          <w:szCs w:val="24"/>
        </w:rPr>
        <w:t xml:space="preserve">To participate in focused online quarterly webinars to discuss key issues and feed into the design and development of the </w:t>
      </w:r>
      <w:r w:rsidR="00105DE5" w:rsidRPr="00694338">
        <w:rPr>
          <w:sz w:val="24"/>
          <w:szCs w:val="24"/>
        </w:rPr>
        <w:t>S</w:t>
      </w:r>
      <w:r w:rsidRPr="00694338">
        <w:rPr>
          <w:sz w:val="24"/>
          <w:szCs w:val="24"/>
        </w:rPr>
        <w:t>tandard</w:t>
      </w:r>
      <w:r w:rsidR="00105DE5" w:rsidRPr="00694338">
        <w:rPr>
          <w:sz w:val="24"/>
          <w:szCs w:val="24"/>
        </w:rPr>
        <w:t>.</w:t>
      </w:r>
    </w:p>
    <w:p w14:paraId="65A98F48" w14:textId="03AE207B" w:rsidR="00001EB4" w:rsidRPr="00694338" w:rsidRDefault="00001EB4" w:rsidP="00CA35D9">
      <w:pPr>
        <w:pStyle w:val="Number"/>
        <w:rPr>
          <w:sz w:val="24"/>
          <w:szCs w:val="24"/>
        </w:rPr>
      </w:pPr>
      <w:r w:rsidRPr="00694338">
        <w:rPr>
          <w:sz w:val="24"/>
          <w:szCs w:val="24"/>
        </w:rPr>
        <w:t>To contribute evidence on what works best and what needs to change in the coming years</w:t>
      </w:r>
      <w:r w:rsidR="00105DE5" w:rsidRPr="00694338">
        <w:rPr>
          <w:sz w:val="24"/>
          <w:szCs w:val="24"/>
        </w:rPr>
        <w:t>.</w:t>
      </w:r>
    </w:p>
    <w:p w14:paraId="34EAA04A" w14:textId="17FE3D14" w:rsidR="00001EB4" w:rsidRPr="00694338" w:rsidRDefault="00001EB4" w:rsidP="00CA35D9">
      <w:pPr>
        <w:pStyle w:val="Number"/>
        <w:rPr>
          <w:sz w:val="24"/>
          <w:szCs w:val="24"/>
        </w:rPr>
      </w:pPr>
      <w:r w:rsidRPr="00694338">
        <w:rPr>
          <w:sz w:val="24"/>
          <w:szCs w:val="24"/>
        </w:rPr>
        <w:t>To consider digital developments and how best to future</w:t>
      </w:r>
      <w:r w:rsidR="00105DE5" w:rsidRPr="00694338">
        <w:rPr>
          <w:sz w:val="24"/>
          <w:szCs w:val="24"/>
        </w:rPr>
        <w:t>-</w:t>
      </w:r>
      <w:r w:rsidRPr="00694338">
        <w:rPr>
          <w:sz w:val="24"/>
          <w:szCs w:val="24"/>
        </w:rPr>
        <w:t xml:space="preserve">proof </w:t>
      </w:r>
      <w:r w:rsidR="00E600CA" w:rsidRPr="00694338">
        <w:rPr>
          <w:sz w:val="24"/>
          <w:szCs w:val="24"/>
        </w:rPr>
        <w:t xml:space="preserve">the </w:t>
      </w:r>
      <w:r w:rsidR="00341F66" w:rsidRPr="00694338">
        <w:rPr>
          <w:sz w:val="24"/>
          <w:szCs w:val="24"/>
        </w:rPr>
        <w:t xml:space="preserve">Standard </w:t>
      </w:r>
      <w:r w:rsidRPr="00694338">
        <w:rPr>
          <w:sz w:val="24"/>
          <w:szCs w:val="24"/>
        </w:rPr>
        <w:t>in an increasing</w:t>
      </w:r>
      <w:r w:rsidR="00105DE5" w:rsidRPr="00694338">
        <w:rPr>
          <w:sz w:val="24"/>
          <w:szCs w:val="24"/>
        </w:rPr>
        <w:t>ly</w:t>
      </w:r>
      <w:r w:rsidRPr="00694338">
        <w:rPr>
          <w:sz w:val="24"/>
          <w:szCs w:val="24"/>
        </w:rPr>
        <w:t xml:space="preserve"> digital world</w:t>
      </w:r>
      <w:r w:rsidR="00105DE5" w:rsidRPr="00694338">
        <w:rPr>
          <w:sz w:val="24"/>
          <w:szCs w:val="24"/>
        </w:rPr>
        <w:t>.</w:t>
      </w:r>
    </w:p>
    <w:p w14:paraId="2813F646" w14:textId="521FC015" w:rsidR="00001EB4" w:rsidRPr="00694338" w:rsidRDefault="00001EB4" w:rsidP="00CA35D9">
      <w:pPr>
        <w:pStyle w:val="Number"/>
        <w:rPr>
          <w:sz w:val="24"/>
          <w:szCs w:val="24"/>
        </w:rPr>
      </w:pPr>
      <w:r w:rsidRPr="00694338">
        <w:rPr>
          <w:sz w:val="24"/>
          <w:szCs w:val="24"/>
        </w:rPr>
        <w:t>To review the assessment process and make recommendations for continuous improvement</w:t>
      </w:r>
      <w:r w:rsidR="00105DE5" w:rsidRPr="00694338">
        <w:rPr>
          <w:sz w:val="24"/>
          <w:szCs w:val="24"/>
        </w:rPr>
        <w:t xml:space="preserve"> monitoring</w:t>
      </w:r>
      <w:r w:rsidR="002115A7" w:rsidRPr="00694338">
        <w:rPr>
          <w:sz w:val="24"/>
          <w:szCs w:val="24"/>
        </w:rPr>
        <w:t>.</w:t>
      </w:r>
    </w:p>
    <w:p w14:paraId="33E27FA3" w14:textId="2DC1713E" w:rsidR="00001EB4" w:rsidRPr="00694338" w:rsidRDefault="00001EB4">
      <w:pPr>
        <w:pStyle w:val="Number"/>
        <w:rPr>
          <w:sz w:val="24"/>
          <w:szCs w:val="24"/>
        </w:rPr>
      </w:pPr>
      <w:r w:rsidRPr="00694338">
        <w:rPr>
          <w:sz w:val="24"/>
          <w:szCs w:val="24"/>
        </w:rPr>
        <w:t xml:space="preserve">To </w:t>
      </w:r>
      <w:r w:rsidR="00B10CB3" w:rsidRPr="00694338">
        <w:rPr>
          <w:sz w:val="24"/>
          <w:szCs w:val="24"/>
        </w:rPr>
        <w:t xml:space="preserve">give constructive criticism and reaction to developmental ideas and suggestions (including alpha and beta versions) </w:t>
      </w:r>
      <w:r w:rsidRPr="00694338">
        <w:rPr>
          <w:sz w:val="24"/>
          <w:szCs w:val="24"/>
        </w:rPr>
        <w:t>from an end-user perspective.</w:t>
      </w:r>
    </w:p>
    <w:p w14:paraId="09206A6F" w14:textId="086AD1F6" w:rsidR="00BE513D" w:rsidRPr="00694338" w:rsidRDefault="00001EB4" w:rsidP="006C484E">
      <w:pPr>
        <w:rPr>
          <w:rFonts w:asciiTheme="majorHAnsi" w:eastAsiaTheme="majorEastAsia" w:hAnsiTheme="majorHAnsi" w:cstheme="majorBidi"/>
          <w:bCs/>
          <w:color w:val="2F5496" w:themeColor="accent1" w:themeShade="BF"/>
          <w:sz w:val="24"/>
        </w:rPr>
      </w:pPr>
      <w:r w:rsidRPr="00694338">
        <w:rPr>
          <w:rFonts w:cs="Arial"/>
          <w:sz w:val="24"/>
        </w:rPr>
        <w:t xml:space="preserve">Each member of the </w:t>
      </w:r>
      <w:r w:rsidR="00105DE5" w:rsidRPr="00694338">
        <w:rPr>
          <w:rFonts w:cs="Arial"/>
          <w:sz w:val="24"/>
        </w:rPr>
        <w:t>Advisory G</w:t>
      </w:r>
      <w:r w:rsidRPr="00694338">
        <w:rPr>
          <w:rFonts w:cs="Arial"/>
          <w:sz w:val="24"/>
        </w:rPr>
        <w:t xml:space="preserve">roup met with </w:t>
      </w:r>
      <w:r w:rsidR="7D32451A" w:rsidRPr="00694338">
        <w:rPr>
          <w:rFonts w:cs="Arial"/>
          <w:sz w:val="24"/>
        </w:rPr>
        <w:t xml:space="preserve">Roger Chapman who is </w:t>
      </w:r>
      <w:r w:rsidRPr="00694338">
        <w:rPr>
          <w:rFonts w:cs="Arial"/>
          <w:sz w:val="24"/>
        </w:rPr>
        <w:t xml:space="preserve">Head of Service </w:t>
      </w:r>
      <w:r w:rsidR="7FDA419D" w:rsidRPr="00694338">
        <w:rPr>
          <w:rFonts w:cs="Arial"/>
          <w:sz w:val="24"/>
        </w:rPr>
        <w:t xml:space="preserve">for the Standard at the Growth Company, </w:t>
      </w:r>
      <w:r w:rsidRPr="00694338">
        <w:rPr>
          <w:rFonts w:cs="Arial"/>
          <w:sz w:val="24"/>
        </w:rPr>
        <w:t>for a series of one-to-one meetings. Evidence was provided such as the</w:t>
      </w:r>
      <w:r w:rsidR="00AE6FF9" w:rsidRPr="00694338">
        <w:rPr>
          <w:rFonts w:cs="Arial"/>
          <w:sz w:val="24"/>
        </w:rPr>
        <w:t xml:space="preserve"> </w:t>
      </w:r>
      <w:r w:rsidR="002B3314" w:rsidRPr="00694338">
        <w:rPr>
          <w:rFonts w:cs="Arial"/>
          <w:sz w:val="24"/>
        </w:rPr>
        <w:t>Strengths, Weaknesses, Opportunities and Threat</w:t>
      </w:r>
      <w:r w:rsidR="004C66FF" w:rsidRPr="00694338">
        <w:rPr>
          <w:rFonts w:cs="Arial"/>
          <w:sz w:val="24"/>
        </w:rPr>
        <w:t xml:space="preserve">s </w:t>
      </w:r>
      <w:r w:rsidR="00154D93" w:rsidRPr="00694338">
        <w:rPr>
          <w:rFonts w:cs="Arial"/>
          <w:sz w:val="24"/>
        </w:rPr>
        <w:t>(</w:t>
      </w:r>
      <w:r w:rsidRPr="00694338">
        <w:rPr>
          <w:rFonts w:cs="Arial"/>
          <w:sz w:val="24"/>
        </w:rPr>
        <w:t>SWOT</w:t>
      </w:r>
      <w:r w:rsidR="00154D93" w:rsidRPr="00694338">
        <w:rPr>
          <w:rFonts w:cs="Arial"/>
          <w:sz w:val="24"/>
        </w:rPr>
        <w:t xml:space="preserve">) </w:t>
      </w:r>
      <w:r w:rsidRPr="00694338">
        <w:rPr>
          <w:rFonts w:cs="Arial"/>
          <w:sz w:val="24"/>
        </w:rPr>
        <w:t>analys</w:t>
      </w:r>
      <w:r w:rsidR="00B10CB3" w:rsidRPr="00694338">
        <w:rPr>
          <w:rFonts w:cs="Arial"/>
          <w:sz w:val="24"/>
        </w:rPr>
        <w:t xml:space="preserve">is, </w:t>
      </w:r>
      <w:r w:rsidRPr="00694338">
        <w:rPr>
          <w:rFonts w:cs="Arial"/>
          <w:sz w:val="24"/>
        </w:rPr>
        <w:t>summarised</w:t>
      </w:r>
      <w:r w:rsidR="001866BB" w:rsidRPr="00694338">
        <w:rPr>
          <w:rFonts w:cs="Arial"/>
          <w:sz w:val="24"/>
        </w:rPr>
        <w:t xml:space="preserve"> </w:t>
      </w:r>
      <w:hyperlink w:anchor="_SWOT_Analysis">
        <w:r w:rsidR="00B10CB3" w:rsidRPr="00694338">
          <w:rPr>
            <w:rStyle w:val="Hyperlink"/>
            <w:rFonts w:cs="Arial"/>
            <w:sz w:val="24"/>
          </w:rPr>
          <w:t>below</w:t>
        </w:r>
      </w:hyperlink>
      <w:r w:rsidRPr="00694338">
        <w:rPr>
          <w:rFonts w:cs="Arial"/>
          <w:sz w:val="24"/>
        </w:rPr>
        <w:t xml:space="preserve">. The members also provided feedback on the </w:t>
      </w:r>
      <w:r w:rsidR="00B10CB3" w:rsidRPr="00694338">
        <w:rPr>
          <w:rFonts w:cs="Arial"/>
          <w:sz w:val="24"/>
        </w:rPr>
        <w:t>current</w:t>
      </w:r>
      <w:r w:rsidRPr="00694338">
        <w:rPr>
          <w:rFonts w:cs="Arial"/>
          <w:sz w:val="24"/>
        </w:rPr>
        <w:t xml:space="preserve"> </w:t>
      </w:r>
      <w:r w:rsidR="00ED3326" w:rsidRPr="00694338">
        <w:rPr>
          <w:rFonts w:cs="Arial"/>
          <w:sz w:val="24"/>
        </w:rPr>
        <w:t>S</w:t>
      </w:r>
      <w:r w:rsidRPr="00694338">
        <w:rPr>
          <w:rFonts w:cs="Arial"/>
          <w:sz w:val="24"/>
        </w:rPr>
        <w:t xml:space="preserve">tandard, and </w:t>
      </w:r>
      <w:r w:rsidR="00B10CB3" w:rsidRPr="00694338">
        <w:rPr>
          <w:rFonts w:cs="Arial"/>
          <w:sz w:val="24"/>
        </w:rPr>
        <w:t xml:space="preserve">on </w:t>
      </w:r>
      <w:r w:rsidRPr="00694338">
        <w:rPr>
          <w:rFonts w:cs="Arial"/>
          <w:sz w:val="24"/>
        </w:rPr>
        <w:t>the develop</w:t>
      </w:r>
      <w:r w:rsidR="00B10CB3" w:rsidRPr="00694338">
        <w:rPr>
          <w:rFonts w:cs="Arial"/>
          <w:sz w:val="24"/>
        </w:rPr>
        <w:t>mental</w:t>
      </w:r>
      <w:r w:rsidRPr="00694338">
        <w:rPr>
          <w:rFonts w:cs="Arial"/>
          <w:sz w:val="24"/>
        </w:rPr>
        <w:t xml:space="preserve"> </w:t>
      </w:r>
      <w:r w:rsidR="00B10CB3" w:rsidRPr="00694338">
        <w:rPr>
          <w:rFonts w:cs="Arial"/>
          <w:sz w:val="24"/>
        </w:rPr>
        <w:t>alpha</w:t>
      </w:r>
      <w:r w:rsidRPr="00694338">
        <w:rPr>
          <w:rFonts w:cs="Arial"/>
          <w:sz w:val="24"/>
        </w:rPr>
        <w:t xml:space="preserve"> and </w:t>
      </w:r>
      <w:r w:rsidR="00B10CB3" w:rsidRPr="00694338">
        <w:rPr>
          <w:rFonts w:cs="Arial"/>
          <w:sz w:val="24"/>
        </w:rPr>
        <w:t>b</w:t>
      </w:r>
      <w:r w:rsidRPr="00694338">
        <w:rPr>
          <w:rFonts w:cs="Arial"/>
          <w:sz w:val="24"/>
        </w:rPr>
        <w:t xml:space="preserve">eta versions. Often copies of </w:t>
      </w:r>
      <w:r w:rsidR="00B10CB3" w:rsidRPr="00694338">
        <w:rPr>
          <w:rFonts w:cs="Arial"/>
          <w:sz w:val="24"/>
        </w:rPr>
        <w:t>draft versions</w:t>
      </w:r>
      <w:r w:rsidRPr="00694338">
        <w:rPr>
          <w:rFonts w:cs="Arial"/>
          <w:sz w:val="24"/>
        </w:rPr>
        <w:t xml:space="preserve"> were returned with comments which were reviewed by </w:t>
      </w:r>
      <w:r w:rsidR="0072327C" w:rsidRPr="00694338">
        <w:rPr>
          <w:rFonts w:cs="Arial"/>
          <w:sz w:val="24"/>
        </w:rPr>
        <w:t>a</w:t>
      </w:r>
      <w:r w:rsidRPr="00694338">
        <w:rPr>
          <w:rFonts w:cs="Arial"/>
          <w:sz w:val="24"/>
        </w:rPr>
        <w:t xml:space="preserve"> sub-set of the Executive Group. The feedback </w:t>
      </w:r>
      <w:r w:rsidR="00B10CB3" w:rsidRPr="00694338">
        <w:rPr>
          <w:rFonts w:cs="Arial"/>
          <w:sz w:val="24"/>
        </w:rPr>
        <w:t>was</w:t>
      </w:r>
      <w:r w:rsidRPr="00694338">
        <w:rPr>
          <w:rFonts w:cs="Arial"/>
          <w:sz w:val="24"/>
        </w:rPr>
        <w:t xml:space="preserve"> reviewed carefully </w:t>
      </w:r>
      <w:r w:rsidR="00B10CB3" w:rsidRPr="00694338">
        <w:rPr>
          <w:rFonts w:cs="Arial"/>
          <w:sz w:val="24"/>
        </w:rPr>
        <w:t xml:space="preserve">and selectively by the Executive Group </w:t>
      </w:r>
      <w:r w:rsidRPr="00694338">
        <w:rPr>
          <w:rFonts w:cs="Arial"/>
          <w:sz w:val="24"/>
        </w:rPr>
        <w:t>as not all suggested changes could be adopted</w:t>
      </w:r>
      <w:r w:rsidR="00B10CB3" w:rsidRPr="00694338">
        <w:rPr>
          <w:rFonts w:cs="Arial"/>
          <w:sz w:val="24"/>
        </w:rPr>
        <w:t xml:space="preserve">, </w:t>
      </w:r>
      <w:r w:rsidR="00154D93" w:rsidRPr="00694338">
        <w:rPr>
          <w:rFonts w:cs="Arial"/>
          <w:sz w:val="24"/>
        </w:rPr>
        <w:t>to</w:t>
      </w:r>
      <w:r w:rsidR="00B10CB3" w:rsidRPr="00694338">
        <w:rPr>
          <w:rFonts w:cs="Arial"/>
          <w:sz w:val="24"/>
        </w:rPr>
        <w:t xml:space="preserve"> ensure the Standard remains appropriate to all sectors</w:t>
      </w:r>
      <w:r w:rsidRPr="00694338">
        <w:rPr>
          <w:rFonts w:cs="Arial"/>
          <w:sz w:val="24"/>
        </w:rPr>
        <w:t>.</w:t>
      </w:r>
      <w:bookmarkStart w:id="21" w:name="_SWOT_Analysis"/>
      <w:bookmarkEnd w:id="21"/>
      <w:r w:rsidR="00BE513D" w:rsidRPr="00694338">
        <w:rPr>
          <w:sz w:val="24"/>
        </w:rPr>
        <w:br w:type="page"/>
      </w:r>
    </w:p>
    <w:p w14:paraId="520889E9" w14:textId="64E6E65D" w:rsidR="00DB53EA" w:rsidRPr="00C36FBC" w:rsidRDefault="00001EB4" w:rsidP="000B550F">
      <w:pPr>
        <w:pStyle w:val="Heading1"/>
      </w:pPr>
      <w:bookmarkStart w:id="22" w:name="_Toc116456713"/>
      <w:bookmarkStart w:id="23" w:name="_Toc129688500"/>
      <w:r w:rsidRPr="00C36FBC">
        <w:lastRenderedPageBreak/>
        <w:t>SWOT Analysis</w:t>
      </w:r>
      <w:bookmarkEnd w:id="22"/>
      <w:bookmarkEnd w:id="23"/>
    </w:p>
    <w:p w14:paraId="217E692A" w14:textId="77777777" w:rsidR="00955A79" w:rsidRPr="00C36FBC" w:rsidRDefault="00955A79" w:rsidP="002217F7">
      <w:pPr>
        <w:rPr>
          <w:rFonts w:cs="Arial"/>
        </w:rPr>
      </w:pPr>
    </w:p>
    <w:p w14:paraId="3463C018" w14:textId="02AF266F" w:rsidR="003D0012" w:rsidRPr="00694338" w:rsidRDefault="0094052F" w:rsidP="002217F7">
      <w:pPr>
        <w:rPr>
          <w:rFonts w:cs="Arial"/>
          <w:sz w:val="24"/>
        </w:rPr>
      </w:pPr>
      <w:r w:rsidRPr="00694338">
        <w:rPr>
          <w:rFonts w:cs="Arial"/>
          <w:sz w:val="24"/>
        </w:rPr>
        <w:t xml:space="preserve">To support the </w:t>
      </w:r>
      <w:r w:rsidR="00087CE9" w:rsidRPr="00694338">
        <w:rPr>
          <w:rFonts w:cs="Arial"/>
          <w:sz w:val="24"/>
        </w:rPr>
        <w:t>review the Growth Company identified the need for a Strengths, Weaknesses, Opportunities and Threats (SWOT) of the current Standard and assessment process to be carried out</w:t>
      </w:r>
      <w:r w:rsidR="002115A7" w:rsidRPr="00694338">
        <w:rPr>
          <w:rFonts w:cs="Arial"/>
          <w:sz w:val="24"/>
        </w:rPr>
        <w:t xml:space="preserve">.  This was used to </w:t>
      </w:r>
      <w:r w:rsidR="007B0BC4" w:rsidRPr="00694338">
        <w:rPr>
          <w:rFonts w:cs="Arial"/>
          <w:sz w:val="24"/>
        </w:rPr>
        <w:t xml:space="preserve">help understand </w:t>
      </w:r>
      <w:r w:rsidR="005F0D04" w:rsidRPr="00694338">
        <w:rPr>
          <w:rFonts w:cs="Arial"/>
          <w:sz w:val="24"/>
        </w:rPr>
        <w:t xml:space="preserve">the areas </w:t>
      </w:r>
      <w:r w:rsidR="00D5652A" w:rsidRPr="00694338">
        <w:rPr>
          <w:rFonts w:cs="Arial"/>
          <w:sz w:val="24"/>
        </w:rPr>
        <w:t xml:space="preserve">of the Standard which needed updating and to ensure that the current strengths </w:t>
      </w:r>
      <w:r w:rsidR="002D383D" w:rsidRPr="00694338">
        <w:rPr>
          <w:rFonts w:cs="Arial"/>
          <w:sz w:val="24"/>
        </w:rPr>
        <w:t xml:space="preserve">remained or were </w:t>
      </w:r>
      <w:r w:rsidR="00CB30D2" w:rsidRPr="00694338">
        <w:rPr>
          <w:rFonts w:cs="Arial"/>
          <w:sz w:val="24"/>
        </w:rPr>
        <w:t xml:space="preserve">strengthened and to identify opportunities for the future use of the </w:t>
      </w:r>
      <w:r w:rsidR="00F7697C" w:rsidRPr="00694338">
        <w:rPr>
          <w:rFonts w:cs="Arial"/>
          <w:sz w:val="24"/>
        </w:rPr>
        <w:t>Standard</w:t>
      </w:r>
      <w:r w:rsidR="00CB30D2" w:rsidRPr="00694338">
        <w:rPr>
          <w:rFonts w:cs="Arial"/>
          <w:sz w:val="24"/>
        </w:rPr>
        <w:t xml:space="preserve">. </w:t>
      </w:r>
    </w:p>
    <w:p w14:paraId="427F2D8B" w14:textId="77777777" w:rsidR="003D0012" w:rsidRPr="00694338" w:rsidRDefault="003D0012" w:rsidP="002217F7">
      <w:pPr>
        <w:rPr>
          <w:rFonts w:cs="Arial"/>
          <w:sz w:val="24"/>
        </w:rPr>
      </w:pPr>
    </w:p>
    <w:p w14:paraId="75A1437F" w14:textId="3CC01E4B" w:rsidR="003D0012" w:rsidRPr="00694338" w:rsidRDefault="0074259E" w:rsidP="002217F7">
      <w:pPr>
        <w:rPr>
          <w:rFonts w:cs="Arial"/>
          <w:sz w:val="24"/>
        </w:rPr>
      </w:pPr>
      <w:r w:rsidRPr="00694338">
        <w:rPr>
          <w:rFonts w:cs="Arial"/>
          <w:sz w:val="24"/>
        </w:rPr>
        <w:t>F</w:t>
      </w:r>
      <w:r w:rsidR="00FF12E4" w:rsidRPr="00694338">
        <w:rPr>
          <w:rFonts w:cs="Arial"/>
          <w:sz w:val="24"/>
        </w:rPr>
        <w:t>eedback</w:t>
      </w:r>
      <w:r w:rsidR="00A2450D" w:rsidRPr="00694338">
        <w:rPr>
          <w:rFonts w:cs="Arial"/>
          <w:sz w:val="24"/>
        </w:rPr>
        <w:t xml:space="preserve"> </w:t>
      </w:r>
      <w:r w:rsidR="00DA54CA" w:rsidRPr="00694338">
        <w:rPr>
          <w:rFonts w:cs="Arial"/>
          <w:sz w:val="24"/>
        </w:rPr>
        <w:t>on the strengths</w:t>
      </w:r>
      <w:r w:rsidR="00BE14B4" w:rsidRPr="00694338">
        <w:rPr>
          <w:rFonts w:cs="Arial"/>
          <w:sz w:val="24"/>
        </w:rPr>
        <w:t xml:space="preserve"> and weakness of the current Standard were </w:t>
      </w:r>
      <w:r w:rsidR="00A2450D" w:rsidRPr="00694338">
        <w:rPr>
          <w:rFonts w:cs="Arial"/>
          <w:sz w:val="24"/>
        </w:rPr>
        <w:t>sought</w:t>
      </w:r>
      <w:r w:rsidR="00FF12E4" w:rsidRPr="00694338">
        <w:rPr>
          <w:rFonts w:cs="Arial"/>
          <w:sz w:val="24"/>
        </w:rPr>
        <w:t xml:space="preserve"> from</w:t>
      </w:r>
      <w:r w:rsidR="00433D68" w:rsidRPr="00694338">
        <w:rPr>
          <w:rFonts w:cs="Arial"/>
          <w:sz w:val="24"/>
        </w:rPr>
        <w:t xml:space="preserve"> </w:t>
      </w:r>
      <w:r w:rsidR="000B2B35" w:rsidRPr="00694338">
        <w:rPr>
          <w:rFonts w:cs="Arial"/>
          <w:sz w:val="24"/>
        </w:rPr>
        <w:t>the Executive</w:t>
      </w:r>
      <w:r w:rsidR="00272693" w:rsidRPr="00694338">
        <w:rPr>
          <w:rFonts w:cs="Arial"/>
          <w:sz w:val="24"/>
        </w:rPr>
        <w:t xml:space="preserve"> Group and the Advisory Group </w:t>
      </w:r>
      <w:r w:rsidR="00F87F15" w:rsidRPr="00694338">
        <w:rPr>
          <w:rFonts w:cs="Arial"/>
          <w:sz w:val="24"/>
        </w:rPr>
        <w:t xml:space="preserve">which included </w:t>
      </w:r>
      <w:r w:rsidR="00FF12E4" w:rsidRPr="00694338">
        <w:rPr>
          <w:rFonts w:cs="Arial"/>
          <w:sz w:val="24"/>
        </w:rPr>
        <w:t xml:space="preserve">customers, </w:t>
      </w:r>
      <w:r w:rsidR="00001EB4" w:rsidRPr="00694338">
        <w:rPr>
          <w:rFonts w:cs="Arial"/>
          <w:b/>
          <w:bCs/>
          <w:sz w:val="24"/>
        </w:rPr>
        <w:t xml:space="preserve">matrix </w:t>
      </w:r>
      <w:r w:rsidR="00001EB4" w:rsidRPr="00694338">
        <w:rPr>
          <w:rFonts w:cs="Arial"/>
          <w:sz w:val="24"/>
        </w:rPr>
        <w:t xml:space="preserve">Practitioners </w:t>
      </w:r>
      <w:r w:rsidR="00FF12E4" w:rsidRPr="00694338">
        <w:rPr>
          <w:rFonts w:cs="Arial"/>
          <w:sz w:val="24"/>
        </w:rPr>
        <w:t xml:space="preserve">and </w:t>
      </w:r>
      <w:r w:rsidR="00484ABE" w:rsidRPr="00694338">
        <w:rPr>
          <w:rFonts w:cs="Arial"/>
          <w:sz w:val="24"/>
        </w:rPr>
        <w:t>other stakeholders</w:t>
      </w:r>
      <w:r w:rsidR="000320BB" w:rsidRPr="00694338">
        <w:rPr>
          <w:rFonts w:cs="Arial"/>
          <w:sz w:val="24"/>
        </w:rPr>
        <w:t>,</w:t>
      </w:r>
      <w:r w:rsidR="00FF12E4" w:rsidRPr="00694338">
        <w:rPr>
          <w:rFonts w:cs="Arial"/>
          <w:sz w:val="24"/>
        </w:rPr>
        <w:t xml:space="preserve"> to gather their views on the </w:t>
      </w:r>
      <w:r w:rsidR="00A4141B" w:rsidRPr="00694338">
        <w:rPr>
          <w:rFonts w:cs="Arial"/>
          <w:sz w:val="24"/>
        </w:rPr>
        <w:t>current</w:t>
      </w:r>
      <w:r w:rsidR="00FF12E4" w:rsidRPr="00694338">
        <w:rPr>
          <w:rFonts w:cs="Arial"/>
          <w:sz w:val="24"/>
        </w:rPr>
        <w:t xml:space="preserve"> </w:t>
      </w:r>
      <w:r w:rsidR="00FF12E4" w:rsidRPr="00694338">
        <w:rPr>
          <w:rFonts w:cs="Arial"/>
          <w:b/>
          <w:bCs/>
          <w:sz w:val="24"/>
        </w:rPr>
        <w:t>matrix</w:t>
      </w:r>
      <w:r w:rsidR="00FF12E4" w:rsidRPr="00694338">
        <w:rPr>
          <w:rFonts w:cs="Arial"/>
          <w:sz w:val="24"/>
        </w:rPr>
        <w:t xml:space="preserve"> Standard.</w:t>
      </w:r>
    </w:p>
    <w:p w14:paraId="5A292D88" w14:textId="77777777" w:rsidR="003D0012" w:rsidRPr="00694338" w:rsidRDefault="003D0012" w:rsidP="002217F7">
      <w:pPr>
        <w:rPr>
          <w:rFonts w:cs="Arial"/>
          <w:sz w:val="24"/>
        </w:rPr>
      </w:pPr>
    </w:p>
    <w:p w14:paraId="0A4171D0" w14:textId="5BBB33FC" w:rsidR="00B35BC2" w:rsidRPr="00694338" w:rsidRDefault="5169F60E" w:rsidP="002217F7">
      <w:pPr>
        <w:rPr>
          <w:rFonts w:cs="Arial"/>
          <w:sz w:val="24"/>
        </w:rPr>
      </w:pPr>
      <w:r w:rsidRPr="00694338">
        <w:rPr>
          <w:rFonts w:cs="Arial"/>
          <w:sz w:val="24"/>
        </w:rPr>
        <w:t xml:space="preserve"> </w:t>
      </w:r>
      <w:r w:rsidR="017BBECE" w:rsidRPr="00694338">
        <w:rPr>
          <w:rFonts w:cs="Arial"/>
          <w:sz w:val="24"/>
        </w:rPr>
        <w:t xml:space="preserve">This feedback was gathered </w:t>
      </w:r>
      <w:r w:rsidR="38797357" w:rsidRPr="00694338">
        <w:rPr>
          <w:rFonts w:cs="Arial"/>
          <w:sz w:val="24"/>
        </w:rPr>
        <w:t>via one-one-to-one consultations</w:t>
      </w:r>
      <w:r w:rsidR="40F99155" w:rsidRPr="00694338">
        <w:rPr>
          <w:rFonts w:cs="Arial"/>
          <w:sz w:val="24"/>
        </w:rPr>
        <w:t xml:space="preserve"> </w:t>
      </w:r>
      <w:r w:rsidR="0A6B5C83" w:rsidRPr="00694338">
        <w:rPr>
          <w:rFonts w:cs="Arial"/>
          <w:sz w:val="24"/>
        </w:rPr>
        <w:t>to record the perceived strengths</w:t>
      </w:r>
      <w:r w:rsidR="7AE50C58" w:rsidRPr="00694338">
        <w:rPr>
          <w:rFonts w:cs="Arial"/>
          <w:sz w:val="24"/>
        </w:rPr>
        <w:t>, weaknesses, opportunities</w:t>
      </w:r>
      <w:r w:rsidR="1CFE4549" w:rsidRPr="00694338">
        <w:rPr>
          <w:rFonts w:cs="Arial"/>
          <w:sz w:val="24"/>
        </w:rPr>
        <w:t>,</w:t>
      </w:r>
      <w:r w:rsidR="7AE50C58" w:rsidRPr="00694338">
        <w:rPr>
          <w:rFonts w:cs="Arial"/>
          <w:sz w:val="24"/>
        </w:rPr>
        <w:t xml:space="preserve"> and threats</w:t>
      </w:r>
      <w:r w:rsidR="254129AF" w:rsidRPr="00694338">
        <w:rPr>
          <w:rFonts w:cs="Arial"/>
          <w:sz w:val="24"/>
        </w:rPr>
        <w:t xml:space="preserve">. </w:t>
      </w:r>
      <w:r w:rsidR="02BD183E" w:rsidRPr="00694338">
        <w:rPr>
          <w:rFonts w:cs="Arial"/>
          <w:sz w:val="24"/>
        </w:rPr>
        <w:t xml:space="preserve">Input was also gathered </w:t>
      </w:r>
      <w:r w:rsidR="2948B05C" w:rsidRPr="00694338">
        <w:rPr>
          <w:rFonts w:cs="Arial"/>
          <w:sz w:val="24"/>
        </w:rPr>
        <w:t xml:space="preserve">through a survey of 93 organisations and 22 assessors, </w:t>
      </w:r>
      <w:r w:rsidR="2ACC2025" w:rsidRPr="00694338">
        <w:rPr>
          <w:rFonts w:cs="Arial"/>
          <w:sz w:val="24"/>
        </w:rPr>
        <w:t xml:space="preserve">and </w:t>
      </w:r>
      <w:r w:rsidR="0AAB67E4" w:rsidRPr="00694338">
        <w:rPr>
          <w:rFonts w:cs="Arial"/>
          <w:sz w:val="24"/>
        </w:rPr>
        <w:t xml:space="preserve">regional </w:t>
      </w:r>
      <w:r w:rsidR="2ACC2025" w:rsidRPr="00694338">
        <w:rPr>
          <w:rFonts w:cs="Arial"/>
          <w:sz w:val="24"/>
        </w:rPr>
        <w:t xml:space="preserve">focus </w:t>
      </w:r>
      <w:r w:rsidR="2948B05C" w:rsidRPr="00694338">
        <w:rPr>
          <w:rFonts w:cs="Arial"/>
          <w:sz w:val="24"/>
        </w:rPr>
        <w:t>groups with the assessors</w:t>
      </w:r>
      <w:r w:rsidR="0AAB67E4" w:rsidRPr="00694338">
        <w:rPr>
          <w:rFonts w:cs="Arial"/>
          <w:sz w:val="24"/>
        </w:rPr>
        <w:t xml:space="preserve"> were</w:t>
      </w:r>
      <w:r w:rsidR="4127D582" w:rsidRPr="00694338">
        <w:rPr>
          <w:rFonts w:cs="Arial"/>
          <w:sz w:val="24"/>
        </w:rPr>
        <w:t xml:space="preserve"> run</w:t>
      </w:r>
      <w:r w:rsidR="4DCEEA6A" w:rsidRPr="00694338">
        <w:rPr>
          <w:rFonts w:cs="Arial"/>
          <w:sz w:val="24"/>
        </w:rPr>
        <w:t xml:space="preserve">.  </w:t>
      </w:r>
    </w:p>
    <w:p w14:paraId="5BA4B09A" w14:textId="77777777" w:rsidR="00B35BC2" w:rsidRPr="00694338" w:rsidRDefault="00B35BC2" w:rsidP="002217F7">
      <w:pPr>
        <w:rPr>
          <w:rFonts w:cs="Arial"/>
          <w:sz w:val="24"/>
        </w:rPr>
      </w:pPr>
    </w:p>
    <w:p w14:paraId="597C241D" w14:textId="3D9D145A" w:rsidR="00B35B27" w:rsidRPr="00694338" w:rsidRDefault="00681255" w:rsidP="002217F7">
      <w:pPr>
        <w:rPr>
          <w:rFonts w:cs="Arial"/>
          <w:sz w:val="24"/>
        </w:rPr>
      </w:pPr>
      <w:r w:rsidRPr="00694338">
        <w:rPr>
          <w:rFonts w:cs="Arial"/>
          <w:sz w:val="24"/>
        </w:rPr>
        <w:t>The output from th</w:t>
      </w:r>
      <w:r w:rsidR="0028411E" w:rsidRPr="00694338">
        <w:rPr>
          <w:rFonts w:cs="Arial"/>
          <w:sz w:val="24"/>
        </w:rPr>
        <w:t>ese processes</w:t>
      </w:r>
      <w:r w:rsidR="00481793" w:rsidRPr="00694338">
        <w:rPr>
          <w:rFonts w:cs="Arial"/>
          <w:sz w:val="24"/>
        </w:rPr>
        <w:t xml:space="preserve"> w</w:t>
      </w:r>
      <w:r w:rsidR="0028411E" w:rsidRPr="00694338">
        <w:rPr>
          <w:rFonts w:cs="Arial"/>
          <w:sz w:val="24"/>
        </w:rPr>
        <w:t>ere</w:t>
      </w:r>
      <w:r w:rsidR="00481793" w:rsidRPr="00694338">
        <w:rPr>
          <w:rFonts w:cs="Arial"/>
          <w:sz w:val="24"/>
        </w:rPr>
        <w:t xml:space="preserve"> </w:t>
      </w:r>
      <w:r w:rsidR="005C540C" w:rsidRPr="00694338">
        <w:rPr>
          <w:rFonts w:cs="Arial"/>
          <w:sz w:val="24"/>
        </w:rPr>
        <w:t xml:space="preserve">reviewed </w:t>
      </w:r>
      <w:r w:rsidR="006F4C7F" w:rsidRPr="00694338">
        <w:rPr>
          <w:rFonts w:cs="Arial"/>
          <w:sz w:val="24"/>
        </w:rPr>
        <w:t xml:space="preserve">by </w:t>
      </w:r>
      <w:r w:rsidR="00634B13" w:rsidRPr="00694338">
        <w:rPr>
          <w:rFonts w:cs="Arial"/>
          <w:sz w:val="24"/>
        </w:rPr>
        <w:t xml:space="preserve">members of </w:t>
      </w:r>
      <w:r w:rsidR="006F4C7F" w:rsidRPr="00694338">
        <w:rPr>
          <w:rFonts w:cs="Arial"/>
          <w:sz w:val="24"/>
        </w:rPr>
        <w:t>the Executive</w:t>
      </w:r>
      <w:r w:rsidR="00097944" w:rsidRPr="00694338">
        <w:rPr>
          <w:rFonts w:cs="Arial"/>
          <w:sz w:val="24"/>
        </w:rPr>
        <w:t xml:space="preserve"> Group </w:t>
      </w:r>
      <w:r w:rsidR="005C540C" w:rsidRPr="00694338">
        <w:rPr>
          <w:rFonts w:cs="Arial"/>
          <w:sz w:val="24"/>
        </w:rPr>
        <w:t xml:space="preserve">to create </w:t>
      </w:r>
      <w:r w:rsidR="000A2E74" w:rsidRPr="00694338">
        <w:rPr>
          <w:rFonts w:cs="Arial"/>
          <w:sz w:val="24"/>
        </w:rPr>
        <w:t>a</w:t>
      </w:r>
      <w:r w:rsidR="002D383D" w:rsidRPr="00694338">
        <w:rPr>
          <w:rFonts w:cs="Arial"/>
          <w:sz w:val="24"/>
        </w:rPr>
        <w:t xml:space="preserve"> </w:t>
      </w:r>
      <w:r w:rsidR="00BD2638" w:rsidRPr="00694338">
        <w:rPr>
          <w:rFonts w:cs="Arial"/>
          <w:sz w:val="24"/>
        </w:rPr>
        <w:t>SWOT analysis</w:t>
      </w:r>
      <w:r w:rsidR="0032760E" w:rsidRPr="00694338">
        <w:rPr>
          <w:rFonts w:cs="Arial"/>
          <w:sz w:val="24"/>
        </w:rPr>
        <w:t xml:space="preserve"> </w:t>
      </w:r>
      <w:r w:rsidR="002669E8" w:rsidRPr="00694338">
        <w:rPr>
          <w:rFonts w:cs="Arial"/>
          <w:sz w:val="24"/>
        </w:rPr>
        <w:t xml:space="preserve">of the </w:t>
      </w:r>
      <w:r w:rsidR="009413D8" w:rsidRPr="00694338">
        <w:rPr>
          <w:rFonts w:cs="Arial"/>
          <w:sz w:val="24"/>
        </w:rPr>
        <w:t xml:space="preserve">of the </w:t>
      </w:r>
      <w:r w:rsidR="00317633" w:rsidRPr="00694338">
        <w:rPr>
          <w:rFonts w:cs="Arial"/>
          <w:sz w:val="24"/>
        </w:rPr>
        <w:t>current</w:t>
      </w:r>
      <w:r w:rsidR="009413D8" w:rsidRPr="00694338">
        <w:rPr>
          <w:rFonts w:cs="Arial"/>
          <w:sz w:val="24"/>
        </w:rPr>
        <w:t xml:space="preserve"> </w:t>
      </w:r>
      <w:r w:rsidR="00001EB4" w:rsidRPr="00694338">
        <w:rPr>
          <w:rFonts w:cs="Arial"/>
          <w:sz w:val="24"/>
        </w:rPr>
        <w:t>S</w:t>
      </w:r>
      <w:r w:rsidR="009413D8" w:rsidRPr="00694338">
        <w:rPr>
          <w:rFonts w:cs="Arial"/>
          <w:sz w:val="24"/>
        </w:rPr>
        <w:t>tandard and assessment process</w:t>
      </w:r>
      <w:r w:rsidR="009C5A30" w:rsidRPr="00694338">
        <w:rPr>
          <w:rFonts w:cs="Arial"/>
          <w:sz w:val="24"/>
        </w:rPr>
        <w:t xml:space="preserve">.  </w:t>
      </w:r>
      <w:r w:rsidR="00770765" w:rsidRPr="00694338">
        <w:rPr>
          <w:rFonts w:cs="Arial"/>
          <w:sz w:val="24"/>
        </w:rPr>
        <w:t xml:space="preserve">This </w:t>
      </w:r>
      <w:r w:rsidR="00D32EFA" w:rsidRPr="00694338">
        <w:rPr>
          <w:rFonts w:cs="Arial"/>
          <w:sz w:val="24"/>
        </w:rPr>
        <w:t xml:space="preserve">content was </w:t>
      </w:r>
      <w:r w:rsidR="002D383D" w:rsidRPr="00694338">
        <w:rPr>
          <w:rFonts w:cs="Arial"/>
          <w:sz w:val="24"/>
        </w:rPr>
        <w:t xml:space="preserve">then </w:t>
      </w:r>
      <w:r w:rsidR="00D32EFA" w:rsidRPr="00694338">
        <w:rPr>
          <w:rFonts w:cs="Arial"/>
          <w:sz w:val="24"/>
        </w:rPr>
        <w:t>group</w:t>
      </w:r>
      <w:r w:rsidR="00A239A2" w:rsidRPr="00694338">
        <w:rPr>
          <w:rFonts w:cs="Arial"/>
          <w:sz w:val="24"/>
        </w:rPr>
        <w:t>ed</w:t>
      </w:r>
      <w:r w:rsidR="00D32EFA" w:rsidRPr="00694338">
        <w:rPr>
          <w:rFonts w:cs="Arial"/>
          <w:sz w:val="24"/>
        </w:rPr>
        <w:t xml:space="preserve"> into</w:t>
      </w:r>
      <w:r w:rsidR="00A239A2" w:rsidRPr="00694338">
        <w:rPr>
          <w:rFonts w:cs="Arial"/>
          <w:sz w:val="24"/>
        </w:rPr>
        <w:t xml:space="preserve"> </w:t>
      </w:r>
      <w:r w:rsidR="00D32EFA" w:rsidRPr="00694338">
        <w:rPr>
          <w:rFonts w:cs="Arial"/>
          <w:sz w:val="24"/>
        </w:rPr>
        <w:t>themes</w:t>
      </w:r>
      <w:r w:rsidR="00BF025A" w:rsidRPr="00694338">
        <w:rPr>
          <w:rFonts w:cs="Arial"/>
          <w:sz w:val="24"/>
        </w:rPr>
        <w:t>, which</w:t>
      </w:r>
      <w:r w:rsidR="003811C6" w:rsidRPr="00694338">
        <w:rPr>
          <w:rFonts w:cs="Arial"/>
          <w:sz w:val="24"/>
        </w:rPr>
        <w:t xml:space="preserve"> included </w:t>
      </w:r>
      <w:r w:rsidR="001D4480" w:rsidRPr="00694338">
        <w:rPr>
          <w:rFonts w:cs="Arial"/>
          <w:sz w:val="24"/>
        </w:rPr>
        <w:t xml:space="preserve">feedback about </w:t>
      </w:r>
      <w:r w:rsidR="003811C6" w:rsidRPr="00694338">
        <w:rPr>
          <w:rFonts w:cs="Arial"/>
          <w:sz w:val="24"/>
        </w:rPr>
        <w:t xml:space="preserve">the Standard, </w:t>
      </w:r>
      <w:r w:rsidR="003F7AC1" w:rsidRPr="00694338">
        <w:rPr>
          <w:rFonts w:cs="Arial"/>
          <w:sz w:val="24"/>
        </w:rPr>
        <w:t xml:space="preserve">the assessment process, the </w:t>
      </w:r>
      <w:r w:rsidR="002F1601" w:rsidRPr="00694338">
        <w:rPr>
          <w:rFonts w:cs="Arial"/>
          <w:sz w:val="24"/>
        </w:rPr>
        <w:t>m</w:t>
      </w:r>
      <w:r w:rsidR="003F7AC1" w:rsidRPr="00694338">
        <w:rPr>
          <w:rFonts w:cs="Arial"/>
          <w:sz w:val="24"/>
        </w:rPr>
        <w:t>arket</w:t>
      </w:r>
      <w:r w:rsidR="002F1601" w:rsidRPr="00694338">
        <w:rPr>
          <w:rFonts w:cs="Arial"/>
          <w:sz w:val="24"/>
        </w:rPr>
        <w:t xml:space="preserve">, alignment with other </w:t>
      </w:r>
      <w:r w:rsidR="00BF025A" w:rsidRPr="00694338">
        <w:rPr>
          <w:rFonts w:cs="Arial"/>
          <w:sz w:val="24"/>
        </w:rPr>
        <w:t>frameworks</w:t>
      </w:r>
      <w:r w:rsidR="00D32EFA" w:rsidRPr="00694338">
        <w:rPr>
          <w:rFonts w:cs="Arial"/>
          <w:sz w:val="24"/>
        </w:rPr>
        <w:t xml:space="preserve"> </w:t>
      </w:r>
      <w:r w:rsidR="006E00FB" w:rsidRPr="00694338">
        <w:rPr>
          <w:rFonts w:cs="Arial"/>
          <w:sz w:val="24"/>
        </w:rPr>
        <w:t xml:space="preserve">and the </w:t>
      </w:r>
      <w:r w:rsidR="00981008" w:rsidRPr="00694338">
        <w:rPr>
          <w:rFonts w:cs="Arial"/>
          <w:sz w:val="24"/>
        </w:rPr>
        <w:t>key findings</w:t>
      </w:r>
      <w:r w:rsidR="00D32EFA" w:rsidRPr="00694338">
        <w:rPr>
          <w:rFonts w:cs="Arial"/>
          <w:sz w:val="24"/>
        </w:rPr>
        <w:t xml:space="preserve"> are highlighted</w:t>
      </w:r>
      <w:r w:rsidR="00135F64" w:rsidRPr="00694338">
        <w:rPr>
          <w:rFonts w:cs="Arial"/>
          <w:sz w:val="24"/>
        </w:rPr>
        <w:t xml:space="preserve"> </w:t>
      </w:r>
      <w:r w:rsidR="001A6A42" w:rsidRPr="00694338">
        <w:rPr>
          <w:rFonts w:cs="Arial"/>
          <w:sz w:val="24"/>
        </w:rPr>
        <w:t>here</w:t>
      </w:r>
      <w:r w:rsidR="00135F64" w:rsidRPr="00694338">
        <w:rPr>
          <w:rFonts w:cs="Arial"/>
          <w:sz w:val="24"/>
        </w:rPr>
        <w:t>:</w:t>
      </w:r>
      <w:r w:rsidR="009413D8" w:rsidRPr="00694338">
        <w:rPr>
          <w:rFonts w:cs="Arial"/>
          <w:sz w:val="24"/>
        </w:rPr>
        <w:t xml:space="preserve"> </w:t>
      </w:r>
    </w:p>
    <w:p w14:paraId="6602B0BF" w14:textId="77777777" w:rsidR="000320BB" w:rsidRPr="00694338" w:rsidRDefault="000320BB" w:rsidP="002217F7">
      <w:pPr>
        <w:rPr>
          <w:rFonts w:cs="Arial"/>
          <w:sz w:val="24"/>
        </w:rPr>
      </w:pPr>
    </w:p>
    <w:p w14:paraId="07001289" w14:textId="78CE49FB" w:rsidR="000320BB" w:rsidRPr="00694338" w:rsidRDefault="00373CA0" w:rsidP="002217F7">
      <w:pPr>
        <w:rPr>
          <w:rFonts w:cs="Arial"/>
          <w:sz w:val="24"/>
        </w:rPr>
      </w:pPr>
      <w:r w:rsidRPr="00694338">
        <w:rPr>
          <w:rFonts w:cs="Arial"/>
          <w:sz w:val="24"/>
        </w:rPr>
        <w:t>T</w:t>
      </w:r>
      <w:r w:rsidR="000320BB" w:rsidRPr="00694338">
        <w:rPr>
          <w:rFonts w:cs="Arial"/>
          <w:sz w:val="24"/>
        </w:rPr>
        <w:t>he following strengths</w:t>
      </w:r>
      <w:r w:rsidRPr="00694338">
        <w:rPr>
          <w:rFonts w:cs="Arial"/>
          <w:sz w:val="24"/>
        </w:rPr>
        <w:t xml:space="preserve"> </w:t>
      </w:r>
      <w:r w:rsidR="00E45216" w:rsidRPr="00694338">
        <w:rPr>
          <w:rFonts w:cs="Arial"/>
          <w:sz w:val="24"/>
        </w:rPr>
        <w:t xml:space="preserve">of the Standard </w:t>
      </w:r>
      <w:r w:rsidRPr="00694338">
        <w:rPr>
          <w:rFonts w:cs="Arial"/>
          <w:sz w:val="24"/>
        </w:rPr>
        <w:t xml:space="preserve">were </w:t>
      </w:r>
      <w:r w:rsidR="008032FF" w:rsidRPr="00694338">
        <w:rPr>
          <w:rFonts w:cs="Arial"/>
          <w:sz w:val="24"/>
        </w:rPr>
        <w:t>found</w:t>
      </w:r>
      <w:r w:rsidR="000320BB" w:rsidRPr="00694338">
        <w:rPr>
          <w:rFonts w:cs="Arial"/>
          <w:sz w:val="24"/>
        </w:rPr>
        <w:t>:</w:t>
      </w:r>
    </w:p>
    <w:p w14:paraId="0F93C3FD" w14:textId="1CD60E1F" w:rsidR="000320BB" w:rsidRPr="00694338" w:rsidRDefault="002701C4" w:rsidP="00CA35D9">
      <w:pPr>
        <w:pStyle w:val="Bullet"/>
        <w:rPr>
          <w:sz w:val="24"/>
          <w:szCs w:val="24"/>
        </w:rPr>
      </w:pPr>
      <w:r w:rsidRPr="00694338">
        <w:rPr>
          <w:sz w:val="24"/>
          <w:szCs w:val="24"/>
        </w:rPr>
        <w:t>A</w:t>
      </w:r>
      <w:r w:rsidR="00761984" w:rsidRPr="00694338">
        <w:rPr>
          <w:sz w:val="24"/>
          <w:szCs w:val="24"/>
        </w:rPr>
        <w:t xml:space="preserve"> well</w:t>
      </w:r>
      <w:r w:rsidR="00CD6B10" w:rsidRPr="00694338">
        <w:rPr>
          <w:sz w:val="24"/>
          <w:szCs w:val="24"/>
        </w:rPr>
        <w:t>-</w:t>
      </w:r>
      <w:r w:rsidR="00761984" w:rsidRPr="00694338">
        <w:rPr>
          <w:sz w:val="24"/>
          <w:szCs w:val="24"/>
        </w:rPr>
        <w:t xml:space="preserve">established </w:t>
      </w:r>
      <w:r w:rsidR="005F50D0" w:rsidRPr="00694338">
        <w:rPr>
          <w:sz w:val="24"/>
          <w:szCs w:val="24"/>
        </w:rPr>
        <w:t xml:space="preserve">quality improvement </w:t>
      </w:r>
      <w:r w:rsidR="00B5139F" w:rsidRPr="00694338">
        <w:rPr>
          <w:sz w:val="24"/>
          <w:szCs w:val="24"/>
        </w:rPr>
        <w:t>Standard</w:t>
      </w:r>
      <w:r w:rsidR="00637A96" w:rsidRPr="00694338">
        <w:rPr>
          <w:sz w:val="24"/>
          <w:szCs w:val="24"/>
        </w:rPr>
        <w:t>.</w:t>
      </w:r>
    </w:p>
    <w:p w14:paraId="7C312B9E" w14:textId="5AE88F54" w:rsidR="005F50D0" w:rsidRPr="00694338" w:rsidRDefault="00CD6B10" w:rsidP="00CA35D9">
      <w:pPr>
        <w:pStyle w:val="Bullet"/>
        <w:rPr>
          <w:sz w:val="24"/>
          <w:szCs w:val="24"/>
        </w:rPr>
      </w:pPr>
      <w:r w:rsidRPr="00694338">
        <w:rPr>
          <w:sz w:val="24"/>
          <w:szCs w:val="24"/>
        </w:rPr>
        <w:t>W</w:t>
      </w:r>
      <w:r w:rsidR="005F50D0" w:rsidRPr="00694338">
        <w:rPr>
          <w:sz w:val="24"/>
          <w:szCs w:val="24"/>
        </w:rPr>
        <w:t xml:space="preserve">idely recognised in the </w:t>
      </w:r>
      <w:r w:rsidR="002701C4" w:rsidRPr="00694338">
        <w:rPr>
          <w:sz w:val="24"/>
          <w:szCs w:val="24"/>
        </w:rPr>
        <w:t>core sectors it serves</w:t>
      </w:r>
      <w:r w:rsidR="00637A96" w:rsidRPr="00694338">
        <w:rPr>
          <w:sz w:val="24"/>
          <w:szCs w:val="24"/>
        </w:rPr>
        <w:t>.</w:t>
      </w:r>
    </w:p>
    <w:p w14:paraId="6EFC2CEC" w14:textId="26CF8214" w:rsidR="00CD6B10" w:rsidRPr="00694338" w:rsidRDefault="00181E87" w:rsidP="00CA35D9">
      <w:pPr>
        <w:pStyle w:val="Bullet"/>
        <w:rPr>
          <w:sz w:val="24"/>
          <w:szCs w:val="24"/>
        </w:rPr>
      </w:pPr>
      <w:r w:rsidRPr="00694338">
        <w:rPr>
          <w:sz w:val="24"/>
          <w:szCs w:val="24"/>
        </w:rPr>
        <w:t xml:space="preserve">Focused on improving outcomes for </w:t>
      </w:r>
      <w:r w:rsidR="001355A1" w:rsidRPr="00694338">
        <w:rPr>
          <w:sz w:val="24"/>
          <w:szCs w:val="24"/>
        </w:rPr>
        <w:t>service users</w:t>
      </w:r>
      <w:r w:rsidR="00637A96" w:rsidRPr="00694338">
        <w:rPr>
          <w:sz w:val="24"/>
          <w:szCs w:val="24"/>
        </w:rPr>
        <w:t>.</w:t>
      </w:r>
    </w:p>
    <w:p w14:paraId="2B379D01" w14:textId="01BDF6B6" w:rsidR="001355A1" w:rsidRPr="00694338" w:rsidRDefault="001355A1" w:rsidP="00CA35D9">
      <w:pPr>
        <w:pStyle w:val="Bullet"/>
        <w:rPr>
          <w:sz w:val="24"/>
          <w:szCs w:val="24"/>
        </w:rPr>
      </w:pPr>
      <w:r w:rsidRPr="00694338">
        <w:rPr>
          <w:sz w:val="24"/>
          <w:szCs w:val="24"/>
        </w:rPr>
        <w:t>The assessment processes are effective</w:t>
      </w:r>
      <w:r w:rsidR="00637A96" w:rsidRPr="00694338">
        <w:rPr>
          <w:sz w:val="24"/>
          <w:szCs w:val="24"/>
        </w:rPr>
        <w:t>.</w:t>
      </w:r>
    </w:p>
    <w:p w14:paraId="28B8ACD0" w14:textId="6FAE557E" w:rsidR="001355A1" w:rsidRPr="00694338" w:rsidRDefault="00DA590D" w:rsidP="00CA35D9">
      <w:pPr>
        <w:pStyle w:val="Bullet"/>
        <w:rPr>
          <w:sz w:val="24"/>
          <w:szCs w:val="24"/>
        </w:rPr>
      </w:pPr>
      <w:r w:rsidRPr="00694338">
        <w:rPr>
          <w:sz w:val="24"/>
          <w:szCs w:val="24"/>
        </w:rPr>
        <w:t>Professional assessors add value</w:t>
      </w:r>
      <w:r w:rsidR="00637A96" w:rsidRPr="00694338">
        <w:rPr>
          <w:sz w:val="24"/>
          <w:szCs w:val="24"/>
        </w:rPr>
        <w:t>.</w:t>
      </w:r>
    </w:p>
    <w:p w14:paraId="73290713" w14:textId="3FC237B4" w:rsidR="00C32834" w:rsidRPr="00694338" w:rsidRDefault="52401196" w:rsidP="00C32834">
      <w:pPr>
        <w:pStyle w:val="Bullet"/>
        <w:rPr>
          <w:sz w:val="24"/>
          <w:szCs w:val="24"/>
        </w:rPr>
      </w:pPr>
      <w:r w:rsidRPr="00694338">
        <w:rPr>
          <w:sz w:val="24"/>
          <w:szCs w:val="24"/>
        </w:rPr>
        <w:t xml:space="preserve">The standard can be used in a wide variety of </w:t>
      </w:r>
      <w:r w:rsidR="2A00A02E" w:rsidRPr="00694338">
        <w:rPr>
          <w:sz w:val="24"/>
          <w:szCs w:val="24"/>
        </w:rPr>
        <w:t>organisations</w:t>
      </w:r>
      <w:r w:rsidR="7BCC4C23" w:rsidRPr="00694338">
        <w:rPr>
          <w:sz w:val="24"/>
          <w:szCs w:val="24"/>
        </w:rPr>
        <w:t xml:space="preserve"> which deliver IAG for example </w:t>
      </w:r>
      <w:r w:rsidR="150D651A" w:rsidRPr="00694338">
        <w:rPr>
          <w:sz w:val="24"/>
          <w:szCs w:val="24"/>
        </w:rPr>
        <w:t>a sole trader</w:t>
      </w:r>
      <w:r w:rsidR="2A00A02E" w:rsidRPr="00694338">
        <w:rPr>
          <w:sz w:val="24"/>
          <w:szCs w:val="24"/>
        </w:rPr>
        <w:t xml:space="preserve"> who may deliver careers advice in a school</w:t>
      </w:r>
      <w:r w:rsidR="150D651A" w:rsidRPr="00694338">
        <w:rPr>
          <w:sz w:val="24"/>
          <w:szCs w:val="24"/>
        </w:rPr>
        <w:t xml:space="preserve">, </w:t>
      </w:r>
      <w:r w:rsidR="08D6EEBF" w:rsidRPr="00694338">
        <w:rPr>
          <w:sz w:val="24"/>
          <w:szCs w:val="24"/>
        </w:rPr>
        <w:t>a website</w:t>
      </w:r>
      <w:r w:rsidR="40F922F6" w:rsidRPr="00694338">
        <w:rPr>
          <w:sz w:val="24"/>
          <w:szCs w:val="24"/>
        </w:rPr>
        <w:t>, a charity</w:t>
      </w:r>
      <w:r w:rsidR="15F65C21" w:rsidRPr="00694338">
        <w:rPr>
          <w:sz w:val="24"/>
          <w:szCs w:val="24"/>
        </w:rPr>
        <w:t>,</w:t>
      </w:r>
      <w:r w:rsidR="40F922F6" w:rsidRPr="00694338">
        <w:rPr>
          <w:sz w:val="24"/>
          <w:szCs w:val="24"/>
        </w:rPr>
        <w:t xml:space="preserve"> a careers company</w:t>
      </w:r>
      <w:r w:rsidR="57482D73" w:rsidRPr="00694338">
        <w:rPr>
          <w:sz w:val="24"/>
          <w:szCs w:val="24"/>
        </w:rPr>
        <w:t xml:space="preserve"> or</w:t>
      </w:r>
      <w:r w:rsidR="22306392" w:rsidRPr="00694338">
        <w:rPr>
          <w:sz w:val="24"/>
          <w:szCs w:val="24"/>
        </w:rPr>
        <w:t xml:space="preserve"> organisations </w:t>
      </w:r>
      <w:r w:rsidR="6B43174D" w:rsidRPr="00694338">
        <w:rPr>
          <w:sz w:val="24"/>
          <w:szCs w:val="24"/>
        </w:rPr>
        <w:t xml:space="preserve">responsible for </w:t>
      </w:r>
      <w:r w:rsidR="22306392" w:rsidRPr="00694338">
        <w:rPr>
          <w:sz w:val="24"/>
          <w:szCs w:val="24"/>
        </w:rPr>
        <w:t>delivering the</w:t>
      </w:r>
      <w:r w:rsidR="57482D73" w:rsidRPr="00694338">
        <w:rPr>
          <w:sz w:val="24"/>
          <w:szCs w:val="24"/>
        </w:rPr>
        <w:t xml:space="preserve"> National Careers Service.</w:t>
      </w:r>
      <w:r w:rsidR="40F922F6" w:rsidRPr="00694338">
        <w:rPr>
          <w:sz w:val="24"/>
          <w:szCs w:val="24"/>
        </w:rPr>
        <w:t xml:space="preserve"> </w:t>
      </w:r>
    </w:p>
    <w:p w14:paraId="01592BB4" w14:textId="77777777" w:rsidR="00221A78" w:rsidRPr="00694338" w:rsidRDefault="00221A78" w:rsidP="00221A78">
      <w:pPr>
        <w:pStyle w:val="Bullet"/>
        <w:numPr>
          <w:ilvl w:val="0"/>
          <w:numId w:val="0"/>
        </w:numPr>
        <w:ind w:left="720"/>
        <w:rPr>
          <w:sz w:val="24"/>
          <w:szCs w:val="24"/>
        </w:rPr>
      </w:pPr>
    </w:p>
    <w:p w14:paraId="1C43E125" w14:textId="45E8FF92" w:rsidR="00DA590D" w:rsidRPr="00694338" w:rsidRDefault="00373CA0" w:rsidP="00C32834">
      <w:pPr>
        <w:pStyle w:val="Bullet"/>
        <w:numPr>
          <w:ilvl w:val="0"/>
          <w:numId w:val="0"/>
        </w:numPr>
        <w:ind w:left="360"/>
        <w:rPr>
          <w:sz w:val="24"/>
          <w:szCs w:val="24"/>
        </w:rPr>
      </w:pPr>
      <w:r w:rsidRPr="00694338">
        <w:rPr>
          <w:sz w:val="24"/>
          <w:szCs w:val="24"/>
        </w:rPr>
        <w:t>The following improvement area</w:t>
      </w:r>
      <w:r w:rsidR="00001EB4" w:rsidRPr="00694338">
        <w:rPr>
          <w:sz w:val="24"/>
          <w:szCs w:val="24"/>
        </w:rPr>
        <w:t>s</w:t>
      </w:r>
      <w:r w:rsidRPr="00694338">
        <w:rPr>
          <w:sz w:val="24"/>
          <w:szCs w:val="24"/>
        </w:rPr>
        <w:t xml:space="preserve"> were </w:t>
      </w:r>
      <w:r w:rsidR="008032FF" w:rsidRPr="00694338">
        <w:rPr>
          <w:sz w:val="24"/>
          <w:szCs w:val="24"/>
        </w:rPr>
        <w:t>identified</w:t>
      </w:r>
      <w:r w:rsidRPr="00694338">
        <w:rPr>
          <w:sz w:val="24"/>
          <w:szCs w:val="24"/>
        </w:rPr>
        <w:t>:</w:t>
      </w:r>
    </w:p>
    <w:p w14:paraId="16A1605B" w14:textId="77777777" w:rsidR="00C32834" w:rsidRPr="00694338" w:rsidRDefault="00C32834" w:rsidP="00C32834">
      <w:pPr>
        <w:pStyle w:val="Bullet"/>
        <w:numPr>
          <w:ilvl w:val="0"/>
          <w:numId w:val="0"/>
        </w:numPr>
        <w:ind w:left="360"/>
        <w:rPr>
          <w:sz w:val="24"/>
          <w:szCs w:val="24"/>
        </w:rPr>
      </w:pPr>
    </w:p>
    <w:p w14:paraId="1284BFA3" w14:textId="09FAA038" w:rsidR="00373CA0" w:rsidRPr="00694338" w:rsidRDefault="00B5139F" w:rsidP="00CA35D9">
      <w:pPr>
        <w:pStyle w:val="Bullet"/>
        <w:rPr>
          <w:sz w:val="24"/>
          <w:szCs w:val="24"/>
        </w:rPr>
      </w:pPr>
      <w:r w:rsidRPr="00694338">
        <w:rPr>
          <w:sz w:val="24"/>
          <w:szCs w:val="24"/>
        </w:rPr>
        <w:t>Duplication, re</w:t>
      </w:r>
      <w:r w:rsidR="008E5805" w:rsidRPr="00694338">
        <w:rPr>
          <w:sz w:val="24"/>
          <w:szCs w:val="24"/>
        </w:rPr>
        <w:t>p</w:t>
      </w:r>
      <w:r w:rsidRPr="00694338">
        <w:rPr>
          <w:sz w:val="24"/>
          <w:szCs w:val="24"/>
        </w:rPr>
        <w:t>eti</w:t>
      </w:r>
      <w:r w:rsidR="008E5805" w:rsidRPr="00694338">
        <w:rPr>
          <w:sz w:val="24"/>
          <w:szCs w:val="24"/>
        </w:rPr>
        <w:t>t</w:t>
      </w:r>
      <w:r w:rsidR="00007C2C" w:rsidRPr="00694338">
        <w:rPr>
          <w:sz w:val="24"/>
          <w:szCs w:val="24"/>
        </w:rPr>
        <w:t>i</w:t>
      </w:r>
      <w:r w:rsidRPr="00694338">
        <w:rPr>
          <w:sz w:val="24"/>
          <w:szCs w:val="24"/>
        </w:rPr>
        <w:t>on and overlaps within the</w:t>
      </w:r>
      <w:r w:rsidR="00113369" w:rsidRPr="00694338">
        <w:rPr>
          <w:sz w:val="24"/>
          <w:szCs w:val="24"/>
        </w:rPr>
        <w:t xml:space="preserve"> elements </w:t>
      </w:r>
      <w:r w:rsidR="00756C41" w:rsidRPr="00694338">
        <w:rPr>
          <w:sz w:val="24"/>
          <w:szCs w:val="24"/>
        </w:rPr>
        <w:t>needed to be reduced</w:t>
      </w:r>
      <w:r w:rsidR="00637A96" w:rsidRPr="00694338">
        <w:rPr>
          <w:sz w:val="24"/>
          <w:szCs w:val="24"/>
        </w:rPr>
        <w:t>.</w:t>
      </w:r>
      <w:r w:rsidR="00D86B6D" w:rsidRPr="00694338">
        <w:rPr>
          <w:sz w:val="24"/>
          <w:szCs w:val="24"/>
        </w:rPr>
        <w:t xml:space="preserve"> </w:t>
      </w:r>
      <w:r w:rsidR="00835167" w:rsidRPr="00694338">
        <w:rPr>
          <w:sz w:val="24"/>
          <w:szCs w:val="24"/>
        </w:rPr>
        <w:t xml:space="preserve">An example of </w:t>
      </w:r>
      <w:r w:rsidR="003E6279" w:rsidRPr="00694338">
        <w:rPr>
          <w:sz w:val="24"/>
          <w:szCs w:val="24"/>
        </w:rPr>
        <w:t>criteria that overlap</w:t>
      </w:r>
      <w:r w:rsidR="00E36514" w:rsidRPr="00694338">
        <w:rPr>
          <w:sz w:val="24"/>
          <w:szCs w:val="24"/>
        </w:rPr>
        <w:t xml:space="preserve"> with one </w:t>
      </w:r>
      <w:r w:rsidR="003672DE" w:rsidRPr="00694338">
        <w:rPr>
          <w:sz w:val="24"/>
          <w:szCs w:val="24"/>
        </w:rPr>
        <w:t>another</w:t>
      </w:r>
      <w:r w:rsidR="003E6279" w:rsidRPr="00694338">
        <w:rPr>
          <w:sz w:val="24"/>
          <w:szCs w:val="24"/>
        </w:rPr>
        <w:t xml:space="preserve"> </w:t>
      </w:r>
      <w:r w:rsidR="003672DE" w:rsidRPr="00694338">
        <w:rPr>
          <w:sz w:val="24"/>
          <w:szCs w:val="24"/>
        </w:rPr>
        <w:t>are</w:t>
      </w:r>
      <w:r w:rsidR="009322B0" w:rsidRPr="00694338">
        <w:rPr>
          <w:sz w:val="24"/>
          <w:szCs w:val="24"/>
        </w:rPr>
        <w:t xml:space="preserve"> 1.1 and 1.2 in the current Standard.  </w:t>
      </w:r>
      <w:r w:rsidR="00990B95" w:rsidRPr="00694338">
        <w:rPr>
          <w:sz w:val="24"/>
          <w:szCs w:val="24"/>
        </w:rPr>
        <w:t>1.1 requires the</w:t>
      </w:r>
      <w:r w:rsidR="00990B95" w:rsidRPr="00694338">
        <w:rPr>
          <w:i/>
          <w:iCs/>
          <w:sz w:val="24"/>
          <w:szCs w:val="24"/>
        </w:rPr>
        <w:t xml:space="preserve"> </w:t>
      </w:r>
      <w:r w:rsidR="00990B95" w:rsidRPr="00694338">
        <w:rPr>
          <w:sz w:val="24"/>
          <w:szCs w:val="24"/>
        </w:rPr>
        <w:t>service to have aims and objectives and 1.2 requires clear leadership and direction</w:t>
      </w:r>
      <w:r w:rsidR="00B52711" w:rsidRPr="00694338">
        <w:rPr>
          <w:sz w:val="24"/>
          <w:szCs w:val="24"/>
        </w:rPr>
        <w:t>.</w:t>
      </w:r>
      <w:r w:rsidR="00B20988" w:rsidRPr="00694338">
        <w:rPr>
          <w:sz w:val="24"/>
          <w:szCs w:val="24"/>
        </w:rPr>
        <w:t xml:space="preserve"> </w:t>
      </w:r>
      <w:r w:rsidR="00294203" w:rsidRPr="00694338">
        <w:rPr>
          <w:sz w:val="24"/>
          <w:szCs w:val="24"/>
        </w:rPr>
        <w:t xml:space="preserve"> </w:t>
      </w:r>
      <w:r w:rsidR="00BC1638" w:rsidRPr="00694338">
        <w:rPr>
          <w:sz w:val="24"/>
          <w:szCs w:val="24"/>
        </w:rPr>
        <w:t xml:space="preserve">The </w:t>
      </w:r>
      <w:r w:rsidR="00315F9A" w:rsidRPr="00694338">
        <w:rPr>
          <w:sz w:val="24"/>
          <w:szCs w:val="24"/>
        </w:rPr>
        <w:t xml:space="preserve">effective </w:t>
      </w:r>
      <w:r w:rsidR="00BC1638" w:rsidRPr="00694338">
        <w:rPr>
          <w:sz w:val="24"/>
          <w:szCs w:val="24"/>
        </w:rPr>
        <w:t>lead</w:t>
      </w:r>
      <w:r w:rsidR="00315F9A" w:rsidRPr="00694338">
        <w:rPr>
          <w:sz w:val="24"/>
          <w:szCs w:val="24"/>
        </w:rPr>
        <w:t>ership</w:t>
      </w:r>
      <w:r w:rsidR="00BC1638" w:rsidRPr="00694338">
        <w:rPr>
          <w:sz w:val="24"/>
          <w:szCs w:val="24"/>
        </w:rPr>
        <w:t xml:space="preserve"> of </w:t>
      </w:r>
      <w:r w:rsidR="00315F9A" w:rsidRPr="00694338">
        <w:rPr>
          <w:sz w:val="24"/>
          <w:szCs w:val="24"/>
        </w:rPr>
        <w:t xml:space="preserve">any service requires the setting of clear </w:t>
      </w:r>
      <w:r w:rsidR="00C15C7C" w:rsidRPr="00694338">
        <w:rPr>
          <w:sz w:val="24"/>
          <w:szCs w:val="24"/>
        </w:rPr>
        <w:t>objectives</w:t>
      </w:r>
      <w:r w:rsidR="004108F3" w:rsidRPr="00694338">
        <w:rPr>
          <w:sz w:val="24"/>
          <w:szCs w:val="24"/>
        </w:rPr>
        <w:t>, therefore, c</w:t>
      </w:r>
      <w:r w:rsidR="00D261C5" w:rsidRPr="00694338">
        <w:rPr>
          <w:sz w:val="24"/>
          <w:szCs w:val="24"/>
        </w:rPr>
        <w:t>ombining the two criteria</w:t>
      </w:r>
      <w:r w:rsidR="002115A7" w:rsidRPr="00694338">
        <w:rPr>
          <w:sz w:val="24"/>
          <w:szCs w:val="24"/>
        </w:rPr>
        <w:t xml:space="preserve"> in </w:t>
      </w:r>
      <w:r w:rsidR="00523223" w:rsidRPr="00694338">
        <w:rPr>
          <w:sz w:val="24"/>
          <w:szCs w:val="24"/>
        </w:rPr>
        <w:t>new criterion 1.1,</w:t>
      </w:r>
      <w:r w:rsidR="00D261C5" w:rsidRPr="00694338">
        <w:rPr>
          <w:sz w:val="24"/>
          <w:szCs w:val="24"/>
        </w:rPr>
        <w:t xml:space="preserve"> has brought together </w:t>
      </w:r>
      <w:r w:rsidR="001642AE" w:rsidRPr="00694338">
        <w:rPr>
          <w:sz w:val="24"/>
          <w:szCs w:val="24"/>
        </w:rPr>
        <w:t>the expectations</w:t>
      </w:r>
      <w:r w:rsidR="004108F3" w:rsidRPr="00694338">
        <w:rPr>
          <w:sz w:val="24"/>
          <w:szCs w:val="24"/>
        </w:rPr>
        <w:t xml:space="preserve"> </w:t>
      </w:r>
      <w:r w:rsidR="00740D8D" w:rsidRPr="00694338">
        <w:rPr>
          <w:sz w:val="24"/>
          <w:szCs w:val="24"/>
        </w:rPr>
        <w:t>of how senior</w:t>
      </w:r>
      <w:r w:rsidR="00C15C7C" w:rsidRPr="00694338">
        <w:rPr>
          <w:sz w:val="24"/>
          <w:szCs w:val="24"/>
        </w:rPr>
        <w:t xml:space="preserve"> leaders demonstrate their commitment. </w:t>
      </w:r>
      <w:r w:rsidR="00740D8D" w:rsidRPr="00694338">
        <w:rPr>
          <w:sz w:val="24"/>
          <w:szCs w:val="24"/>
        </w:rPr>
        <w:t xml:space="preserve"> </w:t>
      </w:r>
    </w:p>
    <w:p w14:paraId="295B61B5" w14:textId="7F170D5A" w:rsidR="00AD164F" w:rsidRPr="00694338" w:rsidRDefault="002A584E" w:rsidP="00CA35D9">
      <w:pPr>
        <w:pStyle w:val="Bullet"/>
        <w:rPr>
          <w:sz w:val="24"/>
          <w:szCs w:val="24"/>
        </w:rPr>
      </w:pPr>
      <w:r w:rsidRPr="00694338">
        <w:rPr>
          <w:sz w:val="24"/>
          <w:szCs w:val="24"/>
        </w:rPr>
        <w:t xml:space="preserve">Linkages </w:t>
      </w:r>
      <w:r w:rsidR="00260428" w:rsidRPr="00694338">
        <w:rPr>
          <w:sz w:val="24"/>
          <w:szCs w:val="24"/>
        </w:rPr>
        <w:t>between</w:t>
      </w:r>
      <w:r w:rsidRPr="00694338">
        <w:rPr>
          <w:sz w:val="24"/>
          <w:szCs w:val="24"/>
        </w:rPr>
        <w:t xml:space="preserve"> the elements </w:t>
      </w:r>
      <w:r w:rsidR="00260428" w:rsidRPr="00694338">
        <w:rPr>
          <w:sz w:val="24"/>
          <w:szCs w:val="24"/>
        </w:rPr>
        <w:t>and the criteria</w:t>
      </w:r>
      <w:r w:rsidR="00AD164F" w:rsidRPr="00694338">
        <w:rPr>
          <w:sz w:val="24"/>
          <w:szCs w:val="24"/>
        </w:rPr>
        <w:t xml:space="preserve"> needed to be clearer</w:t>
      </w:r>
      <w:r w:rsidR="00637A96" w:rsidRPr="00694338">
        <w:rPr>
          <w:sz w:val="24"/>
          <w:szCs w:val="24"/>
        </w:rPr>
        <w:t>.</w:t>
      </w:r>
    </w:p>
    <w:p w14:paraId="7F46B3A9" w14:textId="10B780C4" w:rsidR="00C24BA4" w:rsidRPr="00694338" w:rsidRDefault="00AD164F" w:rsidP="00CA35D9">
      <w:pPr>
        <w:pStyle w:val="Bullet"/>
        <w:rPr>
          <w:sz w:val="24"/>
          <w:szCs w:val="24"/>
        </w:rPr>
      </w:pPr>
      <w:r w:rsidRPr="00694338">
        <w:rPr>
          <w:sz w:val="24"/>
          <w:szCs w:val="24"/>
        </w:rPr>
        <w:t>Greater promin</w:t>
      </w:r>
      <w:r w:rsidR="00C24BA4" w:rsidRPr="00694338">
        <w:rPr>
          <w:sz w:val="24"/>
          <w:szCs w:val="24"/>
        </w:rPr>
        <w:t>ence needed to be given to Safeguarding, Wellbeing and Inclusion which have all risen in prominence since the Standard was last reviewed.</w:t>
      </w:r>
    </w:p>
    <w:p w14:paraId="41956687" w14:textId="25B9A650" w:rsidR="009C04B9" w:rsidRPr="00694338" w:rsidRDefault="004F0127" w:rsidP="00CA35D9">
      <w:pPr>
        <w:pStyle w:val="Bullet"/>
        <w:rPr>
          <w:sz w:val="24"/>
          <w:szCs w:val="24"/>
        </w:rPr>
      </w:pPr>
      <w:r w:rsidRPr="00694338">
        <w:rPr>
          <w:sz w:val="24"/>
          <w:szCs w:val="24"/>
        </w:rPr>
        <w:t xml:space="preserve">The Standard needs </w:t>
      </w:r>
      <w:r w:rsidR="003C2B01" w:rsidRPr="00694338">
        <w:rPr>
          <w:sz w:val="24"/>
          <w:szCs w:val="24"/>
        </w:rPr>
        <w:t xml:space="preserve">to provide </w:t>
      </w:r>
      <w:r w:rsidR="00404B41" w:rsidRPr="00694338">
        <w:rPr>
          <w:sz w:val="24"/>
          <w:szCs w:val="24"/>
        </w:rPr>
        <w:t>more guidance to support</w:t>
      </w:r>
      <w:r w:rsidR="00C32834" w:rsidRPr="00694338">
        <w:rPr>
          <w:sz w:val="24"/>
          <w:szCs w:val="24"/>
        </w:rPr>
        <w:t xml:space="preserve"> organisations to interpretate</w:t>
      </w:r>
      <w:r w:rsidR="00404B41" w:rsidRPr="00694338">
        <w:rPr>
          <w:sz w:val="24"/>
          <w:szCs w:val="24"/>
        </w:rPr>
        <w:t xml:space="preserve"> </w:t>
      </w:r>
      <w:r w:rsidR="00C32834" w:rsidRPr="00694338">
        <w:rPr>
          <w:sz w:val="24"/>
          <w:szCs w:val="24"/>
        </w:rPr>
        <w:t xml:space="preserve">the use of the Standard in </w:t>
      </w:r>
      <w:r w:rsidR="00404B41" w:rsidRPr="00694338">
        <w:rPr>
          <w:sz w:val="24"/>
          <w:szCs w:val="24"/>
        </w:rPr>
        <w:t>in different settings</w:t>
      </w:r>
      <w:r w:rsidR="00ED3326" w:rsidRPr="00694338">
        <w:rPr>
          <w:sz w:val="24"/>
          <w:szCs w:val="24"/>
        </w:rPr>
        <w:t>.</w:t>
      </w:r>
      <w:r w:rsidR="00BD62F4" w:rsidRPr="00694338">
        <w:rPr>
          <w:sz w:val="24"/>
          <w:szCs w:val="24"/>
        </w:rPr>
        <w:t xml:space="preserve">  </w:t>
      </w:r>
      <w:r w:rsidR="003C2B01" w:rsidRPr="00694338">
        <w:rPr>
          <w:sz w:val="24"/>
          <w:szCs w:val="24"/>
        </w:rPr>
        <w:t xml:space="preserve">We already have </w:t>
      </w:r>
      <w:r w:rsidR="00C32834" w:rsidRPr="00694338">
        <w:rPr>
          <w:sz w:val="24"/>
          <w:szCs w:val="24"/>
        </w:rPr>
        <w:t>guides for</w:t>
      </w:r>
      <w:r w:rsidR="00CB4772" w:rsidRPr="00694338">
        <w:rPr>
          <w:sz w:val="24"/>
          <w:szCs w:val="24"/>
        </w:rPr>
        <w:t xml:space="preserve"> Further Education and </w:t>
      </w:r>
      <w:r w:rsidR="007576BC" w:rsidRPr="00694338">
        <w:rPr>
          <w:sz w:val="24"/>
          <w:szCs w:val="24"/>
        </w:rPr>
        <w:t>National Careers Services</w:t>
      </w:r>
      <w:r w:rsidR="003C2B01" w:rsidRPr="00694338">
        <w:rPr>
          <w:sz w:val="24"/>
          <w:szCs w:val="24"/>
        </w:rPr>
        <w:t xml:space="preserve">, </w:t>
      </w:r>
      <w:r w:rsidR="00C32834" w:rsidRPr="00694338">
        <w:rPr>
          <w:sz w:val="24"/>
          <w:szCs w:val="24"/>
        </w:rPr>
        <w:t>however there</w:t>
      </w:r>
      <w:r w:rsidR="007576BC" w:rsidRPr="00694338">
        <w:rPr>
          <w:sz w:val="24"/>
          <w:szCs w:val="24"/>
        </w:rPr>
        <w:t xml:space="preserve"> are currently </w:t>
      </w:r>
      <w:r w:rsidR="003C2B01" w:rsidRPr="00694338">
        <w:rPr>
          <w:sz w:val="24"/>
          <w:szCs w:val="24"/>
        </w:rPr>
        <w:t xml:space="preserve">no </w:t>
      </w:r>
      <w:r w:rsidR="007576BC" w:rsidRPr="00694338">
        <w:rPr>
          <w:sz w:val="24"/>
          <w:szCs w:val="24"/>
        </w:rPr>
        <w:t>guides for Higher Education</w:t>
      </w:r>
      <w:r w:rsidR="00047DDE" w:rsidRPr="00694338">
        <w:rPr>
          <w:sz w:val="24"/>
          <w:szCs w:val="24"/>
        </w:rPr>
        <w:t xml:space="preserve"> and Adult </w:t>
      </w:r>
      <w:r w:rsidR="006C3C43" w:rsidRPr="00694338">
        <w:rPr>
          <w:sz w:val="24"/>
          <w:szCs w:val="24"/>
        </w:rPr>
        <w:t>Education.</w:t>
      </w:r>
      <w:r w:rsidR="009C0AC5" w:rsidRPr="00694338">
        <w:rPr>
          <w:sz w:val="24"/>
          <w:szCs w:val="24"/>
        </w:rPr>
        <w:t xml:space="preserve">  </w:t>
      </w:r>
      <w:r w:rsidR="003C2B01" w:rsidRPr="00694338">
        <w:rPr>
          <w:sz w:val="24"/>
          <w:szCs w:val="24"/>
        </w:rPr>
        <w:t>Providing supporting g</w:t>
      </w:r>
      <w:r w:rsidR="008328DE" w:rsidRPr="00694338">
        <w:rPr>
          <w:sz w:val="24"/>
          <w:szCs w:val="24"/>
        </w:rPr>
        <w:t>uides m</w:t>
      </w:r>
      <w:r w:rsidR="00C0090F" w:rsidRPr="00694338">
        <w:rPr>
          <w:sz w:val="24"/>
          <w:szCs w:val="24"/>
        </w:rPr>
        <w:t xml:space="preserve">ake it easier to </w:t>
      </w:r>
      <w:r w:rsidR="003C2B01" w:rsidRPr="00694338">
        <w:rPr>
          <w:sz w:val="24"/>
          <w:szCs w:val="24"/>
        </w:rPr>
        <w:t xml:space="preserve">understand how the Standard can be applied in different setting and </w:t>
      </w:r>
      <w:r w:rsidR="00340C79" w:rsidRPr="00694338">
        <w:rPr>
          <w:sz w:val="24"/>
          <w:szCs w:val="24"/>
        </w:rPr>
        <w:t>apply</w:t>
      </w:r>
      <w:r w:rsidR="00C0090F" w:rsidRPr="00694338">
        <w:rPr>
          <w:sz w:val="24"/>
          <w:szCs w:val="24"/>
        </w:rPr>
        <w:t xml:space="preserve"> </w:t>
      </w:r>
      <w:r w:rsidR="00C0090F" w:rsidRPr="00694338">
        <w:rPr>
          <w:sz w:val="24"/>
          <w:szCs w:val="24"/>
        </w:rPr>
        <w:lastRenderedPageBreak/>
        <w:t>good practice</w:t>
      </w:r>
      <w:r w:rsidR="00340C79" w:rsidRPr="00694338">
        <w:rPr>
          <w:sz w:val="24"/>
          <w:szCs w:val="24"/>
        </w:rPr>
        <w:t>.</w:t>
      </w:r>
      <w:r w:rsidR="005912E0" w:rsidRPr="00694338">
        <w:rPr>
          <w:sz w:val="24"/>
          <w:szCs w:val="24"/>
        </w:rPr>
        <w:t xml:space="preserve"> For example</w:t>
      </w:r>
      <w:r w:rsidR="00EC44C3" w:rsidRPr="00694338">
        <w:rPr>
          <w:sz w:val="24"/>
          <w:szCs w:val="24"/>
        </w:rPr>
        <w:t>,</w:t>
      </w:r>
      <w:r w:rsidR="005912E0" w:rsidRPr="00694338">
        <w:rPr>
          <w:sz w:val="24"/>
          <w:szCs w:val="24"/>
        </w:rPr>
        <w:t xml:space="preserve"> in the National Careers Services the guides </w:t>
      </w:r>
      <w:r w:rsidR="00052698" w:rsidRPr="00694338">
        <w:rPr>
          <w:sz w:val="24"/>
          <w:szCs w:val="24"/>
        </w:rPr>
        <w:t xml:space="preserve">include the use of </w:t>
      </w:r>
      <w:r w:rsidR="00EC44C3" w:rsidRPr="00694338">
        <w:rPr>
          <w:sz w:val="24"/>
          <w:szCs w:val="24"/>
        </w:rPr>
        <w:t>Careers and Skills Action Plans and the Customer Charter.</w:t>
      </w:r>
      <w:r w:rsidR="009C0AC5" w:rsidRPr="00694338">
        <w:rPr>
          <w:sz w:val="24"/>
          <w:szCs w:val="24"/>
        </w:rPr>
        <w:t xml:space="preserve"> </w:t>
      </w:r>
      <w:r w:rsidR="00E12673" w:rsidRPr="00694338">
        <w:rPr>
          <w:sz w:val="24"/>
          <w:szCs w:val="24"/>
        </w:rPr>
        <w:t xml:space="preserve"> </w:t>
      </w:r>
    </w:p>
    <w:p w14:paraId="0C116D29" w14:textId="14D2BF8C" w:rsidR="00B23802" w:rsidRPr="00694338" w:rsidRDefault="00B51219" w:rsidP="00CA35D9">
      <w:pPr>
        <w:pStyle w:val="Bullet"/>
        <w:rPr>
          <w:sz w:val="24"/>
          <w:szCs w:val="24"/>
        </w:rPr>
      </w:pPr>
      <w:r w:rsidRPr="00694338">
        <w:rPr>
          <w:sz w:val="24"/>
          <w:szCs w:val="24"/>
        </w:rPr>
        <w:t xml:space="preserve">The </w:t>
      </w:r>
      <w:r w:rsidR="00BF15EE" w:rsidRPr="00694338">
        <w:rPr>
          <w:sz w:val="24"/>
          <w:szCs w:val="24"/>
        </w:rPr>
        <w:t>d</w:t>
      </w:r>
      <w:r w:rsidR="00F66779" w:rsidRPr="00694338">
        <w:rPr>
          <w:sz w:val="24"/>
          <w:szCs w:val="24"/>
        </w:rPr>
        <w:t xml:space="preserve">istance </w:t>
      </w:r>
      <w:r w:rsidR="003549D8" w:rsidRPr="00694338">
        <w:rPr>
          <w:sz w:val="24"/>
          <w:szCs w:val="24"/>
        </w:rPr>
        <w:t>travelled</w:t>
      </w:r>
      <w:r w:rsidR="00BF15EE" w:rsidRPr="00694338">
        <w:rPr>
          <w:sz w:val="24"/>
          <w:szCs w:val="24"/>
        </w:rPr>
        <w:t xml:space="preserve"> (i.e.</w:t>
      </w:r>
      <w:r w:rsidR="00EC6FF1" w:rsidRPr="00694338">
        <w:rPr>
          <w:sz w:val="24"/>
          <w:szCs w:val="24"/>
        </w:rPr>
        <w:t xml:space="preserve"> </w:t>
      </w:r>
      <w:r w:rsidR="00BF15EE" w:rsidRPr="00694338">
        <w:rPr>
          <w:sz w:val="24"/>
          <w:szCs w:val="24"/>
        </w:rPr>
        <w:t>the improvement over</w:t>
      </w:r>
      <w:r w:rsidR="008032FF" w:rsidRPr="00694338">
        <w:rPr>
          <w:sz w:val="24"/>
          <w:szCs w:val="24"/>
        </w:rPr>
        <w:t xml:space="preserve"> </w:t>
      </w:r>
      <w:r w:rsidR="00BF15EE" w:rsidRPr="00694338">
        <w:rPr>
          <w:sz w:val="24"/>
          <w:szCs w:val="24"/>
        </w:rPr>
        <w:t>time</w:t>
      </w:r>
      <w:r w:rsidR="003549D8" w:rsidRPr="00694338">
        <w:rPr>
          <w:sz w:val="24"/>
          <w:szCs w:val="24"/>
        </w:rPr>
        <w:t xml:space="preserve"> </w:t>
      </w:r>
      <w:r w:rsidR="00BF15EE" w:rsidRPr="00694338">
        <w:rPr>
          <w:sz w:val="24"/>
          <w:szCs w:val="24"/>
        </w:rPr>
        <w:t>of</w:t>
      </w:r>
      <w:r w:rsidR="003549D8" w:rsidRPr="00694338">
        <w:rPr>
          <w:sz w:val="24"/>
          <w:szCs w:val="24"/>
        </w:rPr>
        <w:t xml:space="preserve"> </w:t>
      </w:r>
      <w:r w:rsidR="00F66779" w:rsidRPr="00694338">
        <w:rPr>
          <w:sz w:val="24"/>
          <w:szCs w:val="24"/>
        </w:rPr>
        <w:t>the</w:t>
      </w:r>
      <w:r w:rsidR="000A5E21" w:rsidRPr="00694338">
        <w:rPr>
          <w:sz w:val="24"/>
          <w:szCs w:val="24"/>
        </w:rPr>
        <w:t xml:space="preserve"> </w:t>
      </w:r>
      <w:r w:rsidR="003549D8" w:rsidRPr="00694338">
        <w:rPr>
          <w:sz w:val="24"/>
          <w:szCs w:val="24"/>
        </w:rPr>
        <w:t>recipient</w:t>
      </w:r>
      <w:r w:rsidR="008032FF" w:rsidRPr="00694338">
        <w:rPr>
          <w:sz w:val="24"/>
          <w:szCs w:val="24"/>
        </w:rPr>
        <w:t>)</w:t>
      </w:r>
      <w:r w:rsidR="00220B88" w:rsidRPr="00694338">
        <w:rPr>
          <w:sz w:val="24"/>
          <w:szCs w:val="24"/>
        </w:rPr>
        <w:t xml:space="preserve"> </w:t>
      </w:r>
      <w:r w:rsidR="00990CDD" w:rsidRPr="00694338">
        <w:rPr>
          <w:sz w:val="24"/>
          <w:szCs w:val="24"/>
        </w:rPr>
        <w:t>should</w:t>
      </w:r>
      <w:r w:rsidR="00F66779" w:rsidRPr="00694338">
        <w:rPr>
          <w:sz w:val="24"/>
          <w:szCs w:val="24"/>
        </w:rPr>
        <w:t xml:space="preserve"> be given greater prominence</w:t>
      </w:r>
      <w:r w:rsidR="0018538A" w:rsidRPr="00694338">
        <w:rPr>
          <w:sz w:val="24"/>
          <w:szCs w:val="24"/>
        </w:rPr>
        <w:t xml:space="preserve"> to better review the </w:t>
      </w:r>
      <w:r w:rsidR="00990CDD" w:rsidRPr="00694338">
        <w:rPr>
          <w:sz w:val="24"/>
          <w:szCs w:val="24"/>
        </w:rPr>
        <w:t>outcomes achieved</w:t>
      </w:r>
      <w:r w:rsidR="00637A96" w:rsidRPr="00694338">
        <w:rPr>
          <w:sz w:val="24"/>
          <w:szCs w:val="24"/>
        </w:rPr>
        <w:t>.</w:t>
      </w:r>
      <w:r w:rsidR="000918F3" w:rsidRPr="00694338">
        <w:rPr>
          <w:sz w:val="24"/>
          <w:szCs w:val="24"/>
        </w:rPr>
        <w:t xml:space="preserve">  </w:t>
      </w:r>
      <w:r w:rsidR="003C2B01" w:rsidRPr="00694338">
        <w:rPr>
          <w:sz w:val="24"/>
          <w:szCs w:val="24"/>
        </w:rPr>
        <w:t xml:space="preserve">   E</w:t>
      </w:r>
      <w:r w:rsidR="00147570" w:rsidRPr="00694338">
        <w:rPr>
          <w:sz w:val="24"/>
          <w:szCs w:val="24"/>
        </w:rPr>
        <w:t xml:space="preserve">ach </w:t>
      </w:r>
      <w:r w:rsidR="00023E53" w:rsidRPr="00694338">
        <w:rPr>
          <w:sz w:val="24"/>
          <w:szCs w:val="24"/>
        </w:rPr>
        <w:t xml:space="preserve">person receiving the service </w:t>
      </w:r>
      <w:r w:rsidR="000740C9" w:rsidRPr="00694338">
        <w:rPr>
          <w:sz w:val="24"/>
          <w:szCs w:val="24"/>
        </w:rPr>
        <w:t>is unique</w:t>
      </w:r>
      <w:r w:rsidR="003C2B01" w:rsidRPr="00694338">
        <w:rPr>
          <w:sz w:val="24"/>
          <w:szCs w:val="24"/>
        </w:rPr>
        <w:t>,</w:t>
      </w:r>
      <w:r w:rsidR="000740C9" w:rsidRPr="00694338">
        <w:rPr>
          <w:sz w:val="24"/>
          <w:szCs w:val="24"/>
        </w:rPr>
        <w:t xml:space="preserve"> they each have their own starting point and </w:t>
      </w:r>
      <w:r w:rsidR="00C32834" w:rsidRPr="00694338">
        <w:rPr>
          <w:sz w:val="24"/>
          <w:szCs w:val="24"/>
        </w:rPr>
        <w:t>to</w:t>
      </w:r>
      <w:r w:rsidR="000740C9" w:rsidRPr="00694338">
        <w:rPr>
          <w:sz w:val="24"/>
          <w:szCs w:val="24"/>
        </w:rPr>
        <w:t xml:space="preserve"> serve them </w:t>
      </w:r>
      <w:r w:rsidR="00407E73" w:rsidRPr="00694338">
        <w:rPr>
          <w:sz w:val="24"/>
          <w:szCs w:val="24"/>
        </w:rPr>
        <w:t>effectively</w:t>
      </w:r>
      <w:r w:rsidR="000740C9" w:rsidRPr="00694338">
        <w:rPr>
          <w:sz w:val="24"/>
          <w:szCs w:val="24"/>
        </w:rPr>
        <w:t xml:space="preserve"> it is important t</w:t>
      </w:r>
      <w:r w:rsidR="009A1F15" w:rsidRPr="00694338">
        <w:rPr>
          <w:sz w:val="24"/>
          <w:szCs w:val="24"/>
        </w:rPr>
        <w:t>o review their</w:t>
      </w:r>
      <w:r w:rsidR="00471B92" w:rsidRPr="00694338">
        <w:rPr>
          <w:sz w:val="24"/>
          <w:szCs w:val="24"/>
        </w:rPr>
        <w:t xml:space="preserve"> progress over time to assess </w:t>
      </w:r>
      <w:r w:rsidR="002A6DA0" w:rsidRPr="00694338">
        <w:rPr>
          <w:sz w:val="24"/>
          <w:szCs w:val="24"/>
        </w:rPr>
        <w:t>the impact o</w:t>
      </w:r>
      <w:r w:rsidR="00EA7A26" w:rsidRPr="00694338">
        <w:rPr>
          <w:sz w:val="24"/>
          <w:szCs w:val="24"/>
        </w:rPr>
        <w:t>f the IAG</w:t>
      </w:r>
      <w:r w:rsidR="002A6DA0" w:rsidRPr="00694338">
        <w:rPr>
          <w:sz w:val="24"/>
          <w:szCs w:val="24"/>
        </w:rPr>
        <w:t xml:space="preserve"> on </w:t>
      </w:r>
      <w:r w:rsidR="007B6C55" w:rsidRPr="00694338">
        <w:rPr>
          <w:sz w:val="24"/>
          <w:szCs w:val="24"/>
        </w:rPr>
        <w:t>hard outcomes such as em</w:t>
      </w:r>
      <w:r w:rsidR="002A6DA0" w:rsidRPr="00694338">
        <w:rPr>
          <w:sz w:val="24"/>
          <w:szCs w:val="24"/>
        </w:rPr>
        <w:t>ployment</w:t>
      </w:r>
      <w:r w:rsidR="007B6C55" w:rsidRPr="00694338">
        <w:rPr>
          <w:sz w:val="24"/>
          <w:szCs w:val="24"/>
        </w:rPr>
        <w:t xml:space="preserve"> as well as softer outcomes such as c</w:t>
      </w:r>
      <w:r w:rsidR="00407E73" w:rsidRPr="00694338">
        <w:rPr>
          <w:sz w:val="24"/>
          <w:szCs w:val="24"/>
        </w:rPr>
        <w:t>onfidence.</w:t>
      </w:r>
      <w:r w:rsidR="009C3E57" w:rsidRPr="00694338">
        <w:rPr>
          <w:sz w:val="24"/>
          <w:szCs w:val="24"/>
        </w:rPr>
        <w:t xml:space="preserve"> </w:t>
      </w:r>
    </w:p>
    <w:p w14:paraId="6E96615D" w14:textId="1EFD1FA7" w:rsidR="00F66779" w:rsidRPr="00694338" w:rsidRDefault="007427AA" w:rsidP="00CA35D9">
      <w:pPr>
        <w:pStyle w:val="Bullet"/>
        <w:rPr>
          <w:sz w:val="24"/>
          <w:szCs w:val="24"/>
        </w:rPr>
      </w:pPr>
      <w:r w:rsidRPr="00694338">
        <w:rPr>
          <w:sz w:val="24"/>
          <w:szCs w:val="24"/>
        </w:rPr>
        <w:t xml:space="preserve">The Standard needs to better align to other </w:t>
      </w:r>
      <w:r w:rsidR="00472D84" w:rsidRPr="00694338">
        <w:rPr>
          <w:sz w:val="24"/>
          <w:szCs w:val="24"/>
        </w:rPr>
        <w:t>frameworks</w:t>
      </w:r>
      <w:r w:rsidRPr="00694338">
        <w:rPr>
          <w:sz w:val="24"/>
          <w:szCs w:val="24"/>
        </w:rPr>
        <w:t xml:space="preserve"> such as the Gatsby Benchmarks and </w:t>
      </w:r>
      <w:r w:rsidR="00AA25C9" w:rsidRPr="00694338">
        <w:rPr>
          <w:sz w:val="24"/>
          <w:szCs w:val="24"/>
        </w:rPr>
        <w:t>Ofsted</w:t>
      </w:r>
      <w:r w:rsidR="00ED3326" w:rsidRPr="00694338">
        <w:rPr>
          <w:sz w:val="24"/>
          <w:szCs w:val="24"/>
        </w:rPr>
        <w:t xml:space="preserve"> Education Inspection Framework</w:t>
      </w:r>
      <w:r w:rsidR="003C2B01" w:rsidRPr="00694338">
        <w:rPr>
          <w:sz w:val="24"/>
          <w:szCs w:val="24"/>
        </w:rPr>
        <w:t>.</w:t>
      </w:r>
      <w:r w:rsidR="00B35623" w:rsidRPr="00694338">
        <w:rPr>
          <w:sz w:val="24"/>
          <w:szCs w:val="24"/>
        </w:rPr>
        <w:t xml:space="preserve"> </w:t>
      </w:r>
      <w:r w:rsidR="00303A61" w:rsidRPr="00694338">
        <w:rPr>
          <w:sz w:val="24"/>
          <w:szCs w:val="24"/>
        </w:rPr>
        <w:t>The Gatsby Benchmarks</w:t>
      </w:r>
      <w:r w:rsidR="00A50B95" w:rsidRPr="00694338">
        <w:rPr>
          <w:sz w:val="24"/>
          <w:szCs w:val="24"/>
        </w:rPr>
        <w:t xml:space="preserve"> were</w:t>
      </w:r>
      <w:r w:rsidR="00303A61" w:rsidRPr="00694338">
        <w:rPr>
          <w:sz w:val="24"/>
          <w:szCs w:val="24"/>
        </w:rPr>
        <w:t xml:space="preserve"> </w:t>
      </w:r>
      <w:r w:rsidR="000458EA" w:rsidRPr="00694338">
        <w:rPr>
          <w:sz w:val="24"/>
          <w:szCs w:val="24"/>
        </w:rPr>
        <w:t xml:space="preserve">launched after the </w:t>
      </w:r>
      <w:r w:rsidR="00042133" w:rsidRPr="00694338">
        <w:rPr>
          <w:sz w:val="24"/>
          <w:szCs w:val="24"/>
        </w:rPr>
        <w:t>previous</w:t>
      </w:r>
      <w:r w:rsidR="000458EA" w:rsidRPr="00694338">
        <w:rPr>
          <w:sz w:val="24"/>
          <w:szCs w:val="24"/>
        </w:rPr>
        <w:t xml:space="preserve"> version of the Standard was introd</w:t>
      </w:r>
      <w:r w:rsidR="00A50B95" w:rsidRPr="00694338">
        <w:rPr>
          <w:sz w:val="24"/>
          <w:szCs w:val="24"/>
        </w:rPr>
        <w:t>uced and</w:t>
      </w:r>
      <w:r w:rsidR="00ED3326" w:rsidRPr="00694338">
        <w:rPr>
          <w:sz w:val="24"/>
          <w:szCs w:val="24"/>
        </w:rPr>
        <w:t xml:space="preserve"> the</w:t>
      </w:r>
      <w:r w:rsidR="00A50B95" w:rsidRPr="00694338">
        <w:rPr>
          <w:sz w:val="24"/>
          <w:szCs w:val="24"/>
        </w:rPr>
        <w:t xml:space="preserve"> Ofsted </w:t>
      </w:r>
      <w:r w:rsidR="00ED3326" w:rsidRPr="00694338">
        <w:rPr>
          <w:sz w:val="24"/>
          <w:szCs w:val="24"/>
        </w:rPr>
        <w:t>framework has</w:t>
      </w:r>
      <w:r w:rsidR="00A50B95" w:rsidRPr="00694338">
        <w:rPr>
          <w:sz w:val="24"/>
          <w:szCs w:val="24"/>
        </w:rPr>
        <w:t xml:space="preserve"> been updated to includ</w:t>
      </w:r>
      <w:r w:rsidR="00B62006" w:rsidRPr="00694338">
        <w:rPr>
          <w:sz w:val="24"/>
          <w:szCs w:val="24"/>
        </w:rPr>
        <w:t xml:space="preserve">e </w:t>
      </w:r>
      <w:r w:rsidR="00D617B1" w:rsidRPr="00694338">
        <w:rPr>
          <w:sz w:val="24"/>
          <w:szCs w:val="24"/>
        </w:rPr>
        <w:t xml:space="preserve">an effective </w:t>
      </w:r>
      <w:r w:rsidR="00F07314" w:rsidRPr="00694338">
        <w:rPr>
          <w:sz w:val="24"/>
          <w:szCs w:val="24"/>
        </w:rPr>
        <w:t xml:space="preserve">careers programme and providing </w:t>
      </w:r>
      <w:r w:rsidR="001C6218" w:rsidRPr="00694338">
        <w:rPr>
          <w:sz w:val="24"/>
          <w:szCs w:val="24"/>
        </w:rPr>
        <w:t>impartial careers guidance.</w:t>
      </w:r>
      <w:r w:rsidR="00B62006" w:rsidRPr="00694338">
        <w:rPr>
          <w:sz w:val="24"/>
          <w:szCs w:val="24"/>
        </w:rPr>
        <w:t xml:space="preserve"> </w:t>
      </w:r>
    </w:p>
    <w:p w14:paraId="6A064C14" w14:textId="0E1C4C2D" w:rsidR="00CC7FDD" w:rsidRPr="00694338" w:rsidRDefault="00472D84">
      <w:pPr>
        <w:pStyle w:val="Bullet"/>
        <w:rPr>
          <w:sz w:val="24"/>
          <w:szCs w:val="24"/>
        </w:rPr>
      </w:pPr>
      <w:r w:rsidRPr="00694338">
        <w:rPr>
          <w:sz w:val="24"/>
          <w:szCs w:val="24"/>
        </w:rPr>
        <w:t xml:space="preserve">The assessment process should </w:t>
      </w:r>
      <w:r w:rsidR="00CC7FDD" w:rsidRPr="00694338">
        <w:rPr>
          <w:sz w:val="24"/>
          <w:szCs w:val="24"/>
        </w:rPr>
        <w:t>include digital delivery</w:t>
      </w:r>
      <w:r w:rsidR="00AB623E" w:rsidRPr="00694338">
        <w:rPr>
          <w:sz w:val="24"/>
          <w:szCs w:val="24"/>
        </w:rPr>
        <w:t xml:space="preserve"> and </w:t>
      </w:r>
      <w:r w:rsidR="005564D0" w:rsidRPr="00694338">
        <w:rPr>
          <w:sz w:val="24"/>
          <w:szCs w:val="24"/>
        </w:rPr>
        <w:t>t</w:t>
      </w:r>
      <w:r w:rsidR="00CC7FDD" w:rsidRPr="00694338">
        <w:rPr>
          <w:sz w:val="24"/>
          <w:szCs w:val="24"/>
        </w:rPr>
        <w:t xml:space="preserve">he Standard should </w:t>
      </w:r>
      <w:r w:rsidR="00F74E8C" w:rsidRPr="00694338">
        <w:rPr>
          <w:sz w:val="24"/>
          <w:szCs w:val="24"/>
        </w:rPr>
        <w:t>embrace digital and blended delivery</w:t>
      </w:r>
      <w:r w:rsidR="005F324B" w:rsidRPr="00694338">
        <w:rPr>
          <w:sz w:val="24"/>
          <w:szCs w:val="24"/>
        </w:rPr>
        <w:t>.</w:t>
      </w:r>
    </w:p>
    <w:p w14:paraId="08A6B8EE" w14:textId="7A85153F" w:rsidR="00DB64C4" w:rsidRPr="00694338" w:rsidRDefault="00AB66EC" w:rsidP="00CA35D9">
      <w:pPr>
        <w:pStyle w:val="Bullet"/>
        <w:rPr>
          <w:sz w:val="24"/>
          <w:szCs w:val="24"/>
        </w:rPr>
      </w:pPr>
      <w:r w:rsidRPr="00694338">
        <w:rPr>
          <w:sz w:val="24"/>
          <w:szCs w:val="24"/>
        </w:rPr>
        <w:t xml:space="preserve">There should be a requirement for the </w:t>
      </w:r>
      <w:r w:rsidR="0070729A" w:rsidRPr="00694338">
        <w:rPr>
          <w:sz w:val="24"/>
          <w:szCs w:val="24"/>
        </w:rPr>
        <w:t>organisation</w:t>
      </w:r>
      <w:r w:rsidRPr="00694338">
        <w:rPr>
          <w:sz w:val="24"/>
          <w:szCs w:val="24"/>
        </w:rPr>
        <w:t xml:space="preserve"> </w:t>
      </w:r>
      <w:r w:rsidR="0070729A" w:rsidRPr="00694338">
        <w:rPr>
          <w:sz w:val="24"/>
          <w:szCs w:val="24"/>
        </w:rPr>
        <w:t xml:space="preserve">to </w:t>
      </w:r>
      <w:r w:rsidR="00FC1B58" w:rsidRPr="00694338">
        <w:rPr>
          <w:sz w:val="24"/>
          <w:szCs w:val="24"/>
        </w:rPr>
        <w:t>clear</w:t>
      </w:r>
      <w:r w:rsidR="00DB64C4" w:rsidRPr="00694338">
        <w:rPr>
          <w:sz w:val="24"/>
          <w:szCs w:val="24"/>
        </w:rPr>
        <w:t>ly</w:t>
      </w:r>
      <w:r w:rsidR="00FC1B58" w:rsidRPr="00694338">
        <w:rPr>
          <w:sz w:val="24"/>
          <w:szCs w:val="24"/>
        </w:rPr>
        <w:t xml:space="preserve"> </w:t>
      </w:r>
      <w:r w:rsidR="0070729A" w:rsidRPr="00694338">
        <w:rPr>
          <w:sz w:val="24"/>
          <w:szCs w:val="24"/>
        </w:rPr>
        <w:t>define</w:t>
      </w:r>
      <w:r w:rsidR="00FC1B58" w:rsidRPr="00694338">
        <w:rPr>
          <w:sz w:val="24"/>
          <w:szCs w:val="24"/>
        </w:rPr>
        <w:t xml:space="preserve"> the </w:t>
      </w:r>
      <w:r w:rsidR="003D3FC0" w:rsidRPr="00694338">
        <w:rPr>
          <w:sz w:val="24"/>
          <w:szCs w:val="24"/>
        </w:rPr>
        <w:t>IAG</w:t>
      </w:r>
      <w:r w:rsidR="00FC1B58" w:rsidRPr="00694338">
        <w:rPr>
          <w:sz w:val="24"/>
          <w:szCs w:val="24"/>
        </w:rPr>
        <w:t xml:space="preserve"> </w:t>
      </w:r>
      <w:r w:rsidR="00DB64C4" w:rsidRPr="00694338">
        <w:rPr>
          <w:sz w:val="24"/>
          <w:szCs w:val="24"/>
        </w:rPr>
        <w:t>that it provides</w:t>
      </w:r>
      <w:r w:rsidR="005F324B" w:rsidRPr="00694338">
        <w:rPr>
          <w:sz w:val="24"/>
          <w:szCs w:val="24"/>
        </w:rPr>
        <w:t>.</w:t>
      </w:r>
    </w:p>
    <w:p w14:paraId="18246961" w14:textId="145BDA23" w:rsidR="000575EA" w:rsidRPr="00694338" w:rsidRDefault="0055572C" w:rsidP="00CA35D9">
      <w:pPr>
        <w:pStyle w:val="Bullet"/>
        <w:rPr>
          <w:sz w:val="24"/>
          <w:szCs w:val="24"/>
        </w:rPr>
      </w:pPr>
      <w:r w:rsidRPr="00694338">
        <w:rPr>
          <w:sz w:val="24"/>
          <w:szCs w:val="24"/>
        </w:rPr>
        <w:t xml:space="preserve">The </w:t>
      </w:r>
      <w:r w:rsidR="000575EA" w:rsidRPr="00694338">
        <w:rPr>
          <w:sz w:val="24"/>
          <w:szCs w:val="24"/>
        </w:rPr>
        <w:t xml:space="preserve">interpersonal </w:t>
      </w:r>
      <w:r w:rsidRPr="00694338">
        <w:rPr>
          <w:sz w:val="24"/>
          <w:szCs w:val="24"/>
        </w:rPr>
        <w:t xml:space="preserve">skills of </w:t>
      </w:r>
      <w:r w:rsidR="000575EA" w:rsidRPr="00694338">
        <w:rPr>
          <w:sz w:val="24"/>
          <w:szCs w:val="24"/>
        </w:rPr>
        <w:t>any</w:t>
      </w:r>
      <w:r w:rsidRPr="00694338">
        <w:rPr>
          <w:sz w:val="24"/>
          <w:szCs w:val="24"/>
        </w:rPr>
        <w:t xml:space="preserve"> adviser</w:t>
      </w:r>
      <w:r w:rsidR="000575EA" w:rsidRPr="00694338">
        <w:rPr>
          <w:sz w:val="24"/>
          <w:szCs w:val="24"/>
        </w:rPr>
        <w:t xml:space="preserve"> supporting clients should be further emphasised</w:t>
      </w:r>
      <w:r w:rsidR="006F3F76" w:rsidRPr="00694338">
        <w:rPr>
          <w:sz w:val="24"/>
          <w:szCs w:val="24"/>
        </w:rPr>
        <w:t xml:space="preserve">, </w:t>
      </w:r>
      <w:r w:rsidR="00E47914" w:rsidRPr="00694338">
        <w:rPr>
          <w:sz w:val="24"/>
          <w:szCs w:val="24"/>
        </w:rPr>
        <w:t xml:space="preserve">as </w:t>
      </w:r>
      <w:r w:rsidR="00ED401C" w:rsidRPr="00694338">
        <w:rPr>
          <w:sz w:val="24"/>
          <w:szCs w:val="24"/>
        </w:rPr>
        <w:t xml:space="preserve">being able to build rapport with </w:t>
      </w:r>
      <w:r w:rsidR="001F43DA" w:rsidRPr="00694338">
        <w:rPr>
          <w:sz w:val="24"/>
          <w:szCs w:val="24"/>
        </w:rPr>
        <w:t>someone is equally as important as</w:t>
      </w:r>
      <w:r w:rsidR="008122E6" w:rsidRPr="00694338">
        <w:rPr>
          <w:sz w:val="24"/>
          <w:szCs w:val="24"/>
        </w:rPr>
        <w:t xml:space="preserve"> t</w:t>
      </w:r>
      <w:r w:rsidR="00AC6E9F" w:rsidRPr="00694338">
        <w:rPr>
          <w:sz w:val="24"/>
          <w:szCs w:val="24"/>
        </w:rPr>
        <w:t>echnical knowledge</w:t>
      </w:r>
      <w:r w:rsidR="005F324B" w:rsidRPr="00694338">
        <w:rPr>
          <w:sz w:val="24"/>
          <w:szCs w:val="24"/>
        </w:rPr>
        <w:t>.</w:t>
      </w:r>
      <w:r w:rsidR="00AC6E9F" w:rsidRPr="00694338">
        <w:rPr>
          <w:sz w:val="24"/>
          <w:szCs w:val="24"/>
        </w:rPr>
        <w:t xml:space="preserve">  </w:t>
      </w:r>
      <w:r w:rsidR="00916170" w:rsidRPr="00694338">
        <w:rPr>
          <w:sz w:val="24"/>
          <w:szCs w:val="24"/>
        </w:rPr>
        <w:t xml:space="preserve">  In revised Standard at criterion 2.2 </w:t>
      </w:r>
      <w:r w:rsidR="00916170" w:rsidRPr="00694338">
        <w:rPr>
          <w:i/>
          <w:iCs/>
          <w:sz w:val="24"/>
          <w:szCs w:val="24"/>
        </w:rPr>
        <w:t>“managers and staff will describe the interpersonal skills and behaviours</w:t>
      </w:r>
      <w:r w:rsidR="00C1751C" w:rsidRPr="00694338">
        <w:rPr>
          <w:i/>
          <w:iCs/>
          <w:sz w:val="24"/>
          <w:szCs w:val="24"/>
        </w:rPr>
        <w:t xml:space="preserve"> </w:t>
      </w:r>
      <w:r w:rsidR="00523223" w:rsidRPr="00694338">
        <w:rPr>
          <w:i/>
          <w:iCs/>
          <w:sz w:val="24"/>
          <w:szCs w:val="24"/>
        </w:rPr>
        <w:t>r</w:t>
      </w:r>
      <w:r w:rsidR="00C1751C" w:rsidRPr="00694338">
        <w:rPr>
          <w:i/>
          <w:iCs/>
          <w:sz w:val="24"/>
          <w:szCs w:val="24"/>
        </w:rPr>
        <w:t>equired</w:t>
      </w:r>
      <w:r w:rsidR="00916170" w:rsidRPr="00694338">
        <w:rPr>
          <w:sz w:val="24"/>
          <w:szCs w:val="24"/>
        </w:rPr>
        <w:t>”</w:t>
      </w:r>
      <w:r w:rsidR="00C1751C" w:rsidRPr="00694338">
        <w:rPr>
          <w:sz w:val="24"/>
          <w:szCs w:val="24"/>
        </w:rPr>
        <w:t xml:space="preserve"> </w:t>
      </w:r>
      <w:r w:rsidR="00EC727C" w:rsidRPr="00694338">
        <w:rPr>
          <w:sz w:val="24"/>
          <w:szCs w:val="24"/>
        </w:rPr>
        <w:t xml:space="preserve">which sits alongside the </w:t>
      </w:r>
      <w:r w:rsidR="007A0D12" w:rsidRPr="00694338">
        <w:rPr>
          <w:sz w:val="24"/>
          <w:szCs w:val="24"/>
        </w:rPr>
        <w:t>other skills</w:t>
      </w:r>
      <w:r w:rsidR="00916170" w:rsidRPr="00694338">
        <w:rPr>
          <w:sz w:val="24"/>
          <w:szCs w:val="24"/>
        </w:rPr>
        <w:t xml:space="preserve">. </w:t>
      </w:r>
    </w:p>
    <w:p w14:paraId="30741D36" w14:textId="735F3C84" w:rsidR="00CA6631" w:rsidRPr="00694338" w:rsidRDefault="00CA6631" w:rsidP="00CA35D9">
      <w:pPr>
        <w:pStyle w:val="Bullet"/>
        <w:rPr>
          <w:sz w:val="24"/>
          <w:szCs w:val="24"/>
        </w:rPr>
      </w:pPr>
      <w:r w:rsidRPr="00694338">
        <w:rPr>
          <w:sz w:val="24"/>
          <w:szCs w:val="24"/>
        </w:rPr>
        <w:t xml:space="preserve">The measurement of both hard and soft outcomes should be </w:t>
      </w:r>
      <w:r w:rsidR="00FE1E7A" w:rsidRPr="00694338">
        <w:rPr>
          <w:sz w:val="24"/>
          <w:szCs w:val="24"/>
        </w:rPr>
        <w:t>clearer in the Standard</w:t>
      </w:r>
      <w:r w:rsidR="003A5BF7" w:rsidRPr="00694338">
        <w:rPr>
          <w:sz w:val="24"/>
          <w:szCs w:val="24"/>
        </w:rPr>
        <w:t xml:space="preserve"> to encourage the </w:t>
      </w:r>
      <w:r w:rsidR="00B4013B" w:rsidRPr="00694338">
        <w:rPr>
          <w:sz w:val="24"/>
          <w:szCs w:val="24"/>
        </w:rPr>
        <w:t>tracking of both</w:t>
      </w:r>
      <w:r w:rsidR="005D2DCB" w:rsidRPr="00694338">
        <w:rPr>
          <w:sz w:val="24"/>
          <w:szCs w:val="24"/>
        </w:rPr>
        <w:t xml:space="preserve"> </w:t>
      </w:r>
      <w:r w:rsidR="00B42783" w:rsidRPr="00694338">
        <w:rPr>
          <w:sz w:val="24"/>
          <w:szCs w:val="24"/>
        </w:rPr>
        <w:t>over time to better measure the distance travel</w:t>
      </w:r>
      <w:r w:rsidR="00C97764" w:rsidRPr="00694338">
        <w:rPr>
          <w:sz w:val="24"/>
          <w:szCs w:val="24"/>
        </w:rPr>
        <w:t>l</w:t>
      </w:r>
      <w:r w:rsidR="00B42783" w:rsidRPr="00694338">
        <w:rPr>
          <w:sz w:val="24"/>
          <w:szCs w:val="24"/>
        </w:rPr>
        <w:t>ed</w:t>
      </w:r>
      <w:r w:rsidR="00EE1A7D" w:rsidRPr="00694338">
        <w:rPr>
          <w:sz w:val="24"/>
          <w:szCs w:val="24"/>
        </w:rPr>
        <w:t xml:space="preserve"> to better evaluate the impact of IAG </w:t>
      </w:r>
      <w:r w:rsidR="00C54726" w:rsidRPr="00694338">
        <w:rPr>
          <w:sz w:val="24"/>
          <w:szCs w:val="24"/>
        </w:rPr>
        <w:t xml:space="preserve">on the </w:t>
      </w:r>
      <w:r w:rsidR="008446CC" w:rsidRPr="00694338">
        <w:rPr>
          <w:sz w:val="24"/>
          <w:szCs w:val="24"/>
        </w:rPr>
        <w:t>recipients’</w:t>
      </w:r>
      <w:r w:rsidR="00C54726" w:rsidRPr="00694338">
        <w:rPr>
          <w:sz w:val="24"/>
          <w:szCs w:val="24"/>
        </w:rPr>
        <w:t xml:space="preserve"> goals</w:t>
      </w:r>
      <w:r w:rsidR="00D8270E" w:rsidRPr="00694338">
        <w:rPr>
          <w:sz w:val="24"/>
          <w:szCs w:val="24"/>
        </w:rPr>
        <w:t xml:space="preserve"> overtime</w:t>
      </w:r>
      <w:r w:rsidR="00EE1A7D" w:rsidRPr="00694338">
        <w:rPr>
          <w:sz w:val="24"/>
          <w:szCs w:val="24"/>
        </w:rPr>
        <w:t xml:space="preserve"> </w:t>
      </w:r>
      <w:r w:rsidR="00B95CD5" w:rsidRPr="00694338">
        <w:rPr>
          <w:sz w:val="24"/>
          <w:szCs w:val="24"/>
        </w:rPr>
        <w:t xml:space="preserve">  </w:t>
      </w:r>
      <w:r w:rsidR="00DE1D04" w:rsidRPr="00694338">
        <w:rPr>
          <w:sz w:val="24"/>
          <w:szCs w:val="24"/>
        </w:rPr>
        <w:t>Whilst</w:t>
      </w:r>
      <w:r w:rsidR="00004D91" w:rsidRPr="00694338">
        <w:rPr>
          <w:sz w:val="24"/>
          <w:szCs w:val="24"/>
        </w:rPr>
        <w:t>,</w:t>
      </w:r>
      <w:r w:rsidR="00DE1D04" w:rsidRPr="00694338">
        <w:rPr>
          <w:sz w:val="24"/>
          <w:szCs w:val="24"/>
        </w:rPr>
        <w:t xml:space="preserve"> the Standard</w:t>
      </w:r>
      <w:r w:rsidR="008446CC" w:rsidRPr="00694338">
        <w:rPr>
          <w:sz w:val="24"/>
          <w:szCs w:val="24"/>
        </w:rPr>
        <w:t xml:space="preserve"> does </w:t>
      </w:r>
      <w:r w:rsidR="00DE1D04" w:rsidRPr="00694338">
        <w:rPr>
          <w:sz w:val="24"/>
          <w:szCs w:val="24"/>
        </w:rPr>
        <w:t xml:space="preserve">not </w:t>
      </w:r>
      <w:r w:rsidR="00BC37BF" w:rsidRPr="00694338">
        <w:rPr>
          <w:sz w:val="24"/>
          <w:szCs w:val="24"/>
        </w:rPr>
        <w:t>mandate</w:t>
      </w:r>
      <w:r w:rsidR="00DE1D04" w:rsidRPr="00694338">
        <w:rPr>
          <w:sz w:val="24"/>
          <w:szCs w:val="24"/>
        </w:rPr>
        <w:t xml:space="preserve"> how this is done</w:t>
      </w:r>
      <w:r w:rsidR="00DE3228" w:rsidRPr="00694338">
        <w:rPr>
          <w:sz w:val="24"/>
          <w:szCs w:val="24"/>
        </w:rPr>
        <w:t>;</w:t>
      </w:r>
      <w:r w:rsidR="00DE1D04" w:rsidRPr="00694338">
        <w:rPr>
          <w:sz w:val="24"/>
          <w:szCs w:val="24"/>
        </w:rPr>
        <w:t xml:space="preserve"> guides could point to</w:t>
      </w:r>
      <w:r w:rsidR="00061300" w:rsidRPr="00694338">
        <w:rPr>
          <w:sz w:val="24"/>
          <w:szCs w:val="24"/>
        </w:rPr>
        <w:t xml:space="preserve"> good practice</w:t>
      </w:r>
      <w:r w:rsidR="009D43FE" w:rsidRPr="00694338">
        <w:rPr>
          <w:sz w:val="24"/>
          <w:szCs w:val="24"/>
        </w:rPr>
        <w:t xml:space="preserve"> i</w:t>
      </w:r>
      <w:r w:rsidR="00837764" w:rsidRPr="00694338">
        <w:rPr>
          <w:sz w:val="24"/>
          <w:szCs w:val="24"/>
        </w:rPr>
        <w:t>n</w:t>
      </w:r>
      <w:r w:rsidR="009D43FE" w:rsidRPr="00694338">
        <w:rPr>
          <w:sz w:val="24"/>
          <w:szCs w:val="24"/>
        </w:rPr>
        <w:t xml:space="preserve"> different sectors</w:t>
      </w:r>
      <w:r w:rsidR="00061300" w:rsidRPr="00694338">
        <w:rPr>
          <w:sz w:val="24"/>
          <w:szCs w:val="24"/>
        </w:rPr>
        <w:t xml:space="preserve"> and</w:t>
      </w:r>
      <w:r w:rsidR="00051B35" w:rsidRPr="00694338">
        <w:rPr>
          <w:sz w:val="24"/>
          <w:szCs w:val="24"/>
        </w:rPr>
        <w:t xml:space="preserve"> </w:t>
      </w:r>
      <w:r w:rsidR="00BC37BF" w:rsidRPr="00694338">
        <w:rPr>
          <w:sz w:val="24"/>
          <w:szCs w:val="24"/>
        </w:rPr>
        <w:t>the Ofsted</w:t>
      </w:r>
      <w:r w:rsidR="009D43FE" w:rsidRPr="00694338">
        <w:rPr>
          <w:sz w:val="24"/>
          <w:szCs w:val="24"/>
        </w:rPr>
        <w:t xml:space="preserve"> requirements</w:t>
      </w:r>
      <w:r w:rsidR="001F5FDA" w:rsidRPr="00694338">
        <w:rPr>
          <w:sz w:val="24"/>
          <w:szCs w:val="24"/>
        </w:rPr>
        <w:t xml:space="preserve"> around this</w:t>
      </w:r>
      <w:r w:rsidR="009D43FE" w:rsidRPr="00694338">
        <w:rPr>
          <w:sz w:val="24"/>
          <w:szCs w:val="24"/>
        </w:rPr>
        <w:t xml:space="preserve"> in education</w:t>
      </w:r>
      <w:r w:rsidR="00004D91" w:rsidRPr="00694338">
        <w:rPr>
          <w:sz w:val="24"/>
          <w:szCs w:val="24"/>
        </w:rPr>
        <w:t xml:space="preserve"> and careers</w:t>
      </w:r>
      <w:r w:rsidR="00106A83" w:rsidRPr="00694338">
        <w:rPr>
          <w:sz w:val="24"/>
          <w:szCs w:val="24"/>
        </w:rPr>
        <w:t xml:space="preserve"> could be highlighted</w:t>
      </w:r>
      <w:r w:rsidR="009D43FE" w:rsidRPr="00694338">
        <w:rPr>
          <w:sz w:val="24"/>
          <w:szCs w:val="24"/>
        </w:rPr>
        <w:t>.</w:t>
      </w:r>
    </w:p>
    <w:p w14:paraId="37C647C0" w14:textId="378B2736" w:rsidR="000832F9" w:rsidRPr="00694338" w:rsidRDefault="000832F9" w:rsidP="00C32834">
      <w:pPr>
        <w:rPr>
          <w:sz w:val="24"/>
        </w:rPr>
      </w:pPr>
    </w:p>
    <w:p w14:paraId="289FCFEE" w14:textId="4AA9916F" w:rsidR="000832F9" w:rsidRPr="00694338" w:rsidRDefault="000832F9" w:rsidP="002217F7">
      <w:pPr>
        <w:rPr>
          <w:rFonts w:cs="Arial"/>
          <w:sz w:val="24"/>
        </w:rPr>
      </w:pPr>
      <w:r w:rsidRPr="00694338">
        <w:rPr>
          <w:rFonts w:cs="Arial"/>
          <w:sz w:val="24"/>
        </w:rPr>
        <w:t xml:space="preserve">The flexibility to apply the Standard in a range of settings is valued and the group identified the opportunity to develop further sector guides to provide contextualisation and expectations within different settings. The plan, do, review approach was seen as positive along with the focus on continuous quality improvement, although it was also recognised there was some duplication in criteria and </w:t>
      </w:r>
      <w:r w:rsidR="008B5264" w:rsidRPr="00694338">
        <w:rPr>
          <w:rFonts w:cs="Arial"/>
          <w:sz w:val="24"/>
        </w:rPr>
        <w:t xml:space="preserve">it was </w:t>
      </w:r>
      <w:r w:rsidRPr="00694338">
        <w:rPr>
          <w:rFonts w:cs="Arial"/>
          <w:sz w:val="24"/>
        </w:rPr>
        <w:t>not always easy to follow the ‘linkages’ across different elements</w:t>
      </w:r>
      <w:r w:rsidR="00503EC9" w:rsidRPr="00694338">
        <w:rPr>
          <w:rFonts w:cs="Arial"/>
          <w:sz w:val="24"/>
        </w:rPr>
        <w:t xml:space="preserve">. </w:t>
      </w:r>
      <w:r w:rsidRPr="00694338">
        <w:rPr>
          <w:rFonts w:cs="Arial"/>
          <w:sz w:val="24"/>
        </w:rPr>
        <w:t>Some specific areas were highlighted as needing greater prominence such as equality and diversity.</w:t>
      </w:r>
    </w:p>
    <w:p w14:paraId="15F89E0D" w14:textId="77777777" w:rsidR="000832F9" w:rsidRPr="00694338" w:rsidRDefault="000832F9" w:rsidP="002217F7">
      <w:pPr>
        <w:rPr>
          <w:rFonts w:cs="Arial"/>
          <w:sz w:val="24"/>
        </w:rPr>
      </w:pPr>
    </w:p>
    <w:p w14:paraId="5391E89B" w14:textId="42CD99EE" w:rsidR="00EE0831" w:rsidRPr="00694338" w:rsidRDefault="003A349B" w:rsidP="002171BE">
      <w:pPr>
        <w:rPr>
          <w:rFonts w:cs="Arial"/>
          <w:sz w:val="24"/>
        </w:rPr>
      </w:pPr>
      <w:r w:rsidRPr="00694338">
        <w:rPr>
          <w:rFonts w:cs="Arial"/>
          <w:sz w:val="24"/>
        </w:rPr>
        <w:t>Contractual mandating of</w:t>
      </w:r>
      <w:r w:rsidR="004145EC" w:rsidRPr="00694338">
        <w:rPr>
          <w:rFonts w:cs="Arial"/>
          <w:sz w:val="24"/>
        </w:rPr>
        <w:t xml:space="preserve"> the</w:t>
      </w:r>
      <w:r w:rsidR="00940CEB" w:rsidRPr="00694338">
        <w:rPr>
          <w:rFonts w:cs="Arial"/>
          <w:sz w:val="24"/>
        </w:rPr>
        <w:t xml:space="preserve"> Standard </w:t>
      </w:r>
      <w:r w:rsidR="001B473C" w:rsidRPr="00694338">
        <w:rPr>
          <w:rFonts w:cs="Arial"/>
          <w:sz w:val="24"/>
        </w:rPr>
        <w:t xml:space="preserve">was </w:t>
      </w:r>
      <w:r w:rsidR="00C3669D" w:rsidRPr="00694338">
        <w:rPr>
          <w:rFonts w:cs="Arial"/>
          <w:sz w:val="24"/>
        </w:rPr>
        <w:t xml:space="preserve">highlighted in many places throughout </w:t>
      </w:r>
      <w:r w:rsidR="00F12F17" w:rsidRPr="00694338">
        <w:rPr>
          <w:rFonts w:cs="Arial"/>
          <w:sz w:val="24"/>
        </w:rPr>
        <w:t xml:space="preserve">the SWOT analysis. It is </w:t>
      </w:r>
      <w:r w:rsidR="00ED3326" w:rsidRPr="00694338">
        <w:rPr>
          <w:rFonts w:cs="Arial"/>
          <w:sz w:val="24"/>
        </w:rPr>
        <w:t xml:space="preserve">considered </w:t>
      </w:r>
      <w:r w:rsidR="00F12F17" w:rsidRPr="00694338">
        <w:rPr>
          <w:rFonts w:cs="Arial"/>
          <w:sz w:val="24"/>
        </w:rPr>
        <w:t xml:space="preserve">a strength </w:t>
      </w:r>
      <w:r w:rsidR="00FA6466" w:rsidRPr="00694338">
        <w:rPr>
          <w:rFonts w:cs="Arial"/>
          <w:sz w:val="24"/>
        </w:rPr>
        <w:t>a</w:t>
      </w:r>
      <w:r w:rsidR="0044383F" w:rsidRPr="00694338">
        <w:rPr>
          <w:rFonts w:cs="Arial"/>
          <w:sz w:val="24"/>
        </w:rPr>
        <w:t>nd</w:t>
      </w:r>
      <w:r w:rsidR="00FA6466" w:rsidRPr="00694338">
        <w:rPr>
          <w:rFonts w:cs="Arial"/>
          <w:sz w:val="24"/>
        </w:rPr>
        <w:t xml:space="preserve"> </w:t>
      </w:r>
      <w:r w:rsidR="00840FDD" w:rsidRPr="00694338">
        <w:rPr>
          <w:rFonts w:cs="Arial"/>
          <w:sz w:val="24"/>
        </w:rPr>
        <w:t>a</w:t>
      </w:r>
      <w:r w:rsidR="00FA6466" w:rsidRPr="00694338">
        <w:rPr>
          <w:rFonts w:cs="Arial"/>
          <w:sz w:val="24"/>
        </w:rPr>
        <w:t>dherence</w:t>
      </w:r>
      <w:r w:rsidR="00840FDD" w:rsidRPr="00694338">
        <w:rPr>
          <w:rFonts w:cs="Arial"/>
          <w:sz w:val="24"/>
        </w:rPr>
        <w:t xml:space="preserve"> to</w:t>
      </w:r>
      <w:r w:rsidR="00FA6466" w:rsidRPr="00694338">
        <w:rPr>
          <w:rFonts w:cs="Arial"/>
          <w:sz w:val="24"/>
        </w:rPr>
        <w:t xml:space="preserve"> t</w:t>
      </w:r>
      <w:r w:rsidR="001369D4" w:rsidRPr="00694338">
        <w:rPr>
          <w:rFonts w:cs="Arial"/>
          <w:sz w:val="24"/>
        </w:rPr>
        <w:t>he</w:t>
      </w:r>
      <w:r w:rsidR="00FA6466" w:rsidRPr="00694338">
        <w:rPr>
          <w:rFonts w:cs="Arial"/>
          <w:sz w:val="24"/>
        </w:rPr>
        <w:t xml:space="preserve"> </w:t>
      </w:r>
      <w:r w:rsidR="00840FDD" w:rsidRPr="00694338">
        <w:rPr>
          <w:rFonts w:cs="Arial"/>
          <w:sz w:val="24"/>
        </w:rPr>
        <w:t>S</w:t>
      </w:r>
      <w:r w:rsidR="00FA6466" w:rsidRPr="00694338">
        <w:rPr>
          <w:rFonts w:cs="Arial"/>
          <w:sz w:val="24"/>
        </w:rPr>
        <w:t>tandard led to better outcomes</w:t>
      </w:r>
      <w:r w:rsidR="002D638F" w:rsidRPr="00694338">
        <w:rPr>
          <w:rFonts w:cs="Arial"/>
          <w:sz w:val="24"/>
        </w:rPr>
        <w:t xml:space="preserve"> and consistent delivery for </w:t>
      </w:r>
      <w:r w:rsidR="00154D93" w:rsidRPr="00694338">
        <w:rPr>
          <w:rFonts w:cs="Arial"/>
          <w:sz w:val="24"/>
        </w:rPr>
        <w:t>recipients</w:t>
      </w:r>
      <w:r w:rsidR="003A54F7" w:rsidRPr="00694338">
        <w:rPr>
          <w:rFonts w:cs="Arial"/>
          <w:sz w:val="24"/>
        </w:rPr>
        <w:t>.</w:t>
      </w:r>
      <w:r w:rsidR="00C44AE1" w:rsidRPr="00694338">
        <w:rPr>
          <w:rFonts w:cs="Arial"/>
          <w:sz w:val="24"/>
        </w:rPr>
        <w:t xml:space="preserve"> </w:t>
      </w:r>
      <w:r w:rsidR="002171BE" w:rsidRPr="00694338">
        <w:rPr>
          <w:rFonts w:cs="Arial"/>
          <w:sz w:val="24"/>
        </w:rPr>
        <w:t xml:space="preserve">The risk of withdrawing the requirement to hold </w:t>
      </w:r>
      <w:r w:rsidR="005F0356" w:rsidRPr="00694338">
        <w:rPr>
          <w:rFonts w:cs="Arial"/>
          <w:sz w:val="24"/>
        </w:rPr>
        <w:t xml:space="preserve">the </w:t>
      </w:r>
      <w:r w:rsidR="002171BE" w:rsidRPr="00694338">
        <w:rPr>
          <w:rFonts w:cs="Arial"/>
          <w:sz w:val="24"/>
        </w:rPr>
        <w:t>Standard was also recognised by many contributors as a risk that would have a negative impact upon the Standard</w:t>
      </w:r>
      <w:r w:rsidR="00EE0831" w:rsidRPr="00694338">
        <w:rPr>
          <w:rFonts w:cs="Arial"/>
          <w:sz w:val="24"/>
        </w:rPr>
        <w:t>.</w:t>
      </w:r>
    </w:p>
    <w:p w14:paraId="259DE0B9" w14:textId="10CFB1E2" w:rsidR="002171BE" w:rsidRPr="00694338" w:rsidRDefault="00E20D95" w:rsidP="002171BE">
      <w:pPr>
        <w:rPr>
          <w:rFonts w:cs="Arial"/>
          <w:sz w:val="24"/>
        </w:rPr>
      </w:pPr>
      <w:r w:rsidRPr="00694338">
        <w:rPr>
          <w:rFonts w:cs="Arial"/>
          <w:sz w:val="24"/>
        </w:rPr>
        <w:t>The survey of organisations showed that 78.4% agreed “that the Standard helps to assess and benchmark the quality of our IAG services”</w:t>
      </w:r>
      <w:r w:rsidR="00EE0831" w:rsidRPr="00694338">
        <w:rPr>
          <w:rFonts w:cs="Arial"/>
          <w:sz w:val="24"/>
        </w:rPr>
        <w:t xml:space="preserve">. </w:t>
      </w:r>
      <w:r w:rsidR="00171B7A" w:rsidRPr="00694338">
        <w:rPr>
          <w:rFonts w:cs="Arial"/>
          <w:sz w:val="24"/>
        </w:rPr>
        <w:t xml:space="preserve">Further comments from organisations provided below show how organisations feel the revised </w:t>
      </w:r>
      <w:r w:rsidR="006642CE" w:rsidRPr="00694338">
        <w:rPr>
          <w:rFonts w:cs="Arial"/>
          <w:sz w:val="24"/>
        </w:rPr>
        <w:t>S</w:t>
      </w:r>
      <w:r w:rsidR="00171B7A" w:rsidRPr="00694338">
        <w:rPr>
          <w:rFonts w:cs="Arial"/>
          <w:sz w:val="24"/>
        </w:rPr>
        <w:t>tandard helps to improve the delivery of the service</w:t>
      </w:r>
      <w:r w:rsidR="00680F59" w:rsidRPr="00694338">
        <w:rPr>
          <w:rFonts w:cs="Arial"/>
          <w:sz w:val="24"/>
        </w:rPr>
        <w:t>:</w:t>
      </w:r>
    </w:p>
    <w:p w14:paraId="4DB58E3F" w14:textId="77777777" w:rsidR="000B550F" w:rsidRPr="00694338" w:rsidRDefault="000B550F" w:rsidP="000B550F">
      <w:pPr>
        <w:rPr>
          <w:sz w:val="24"/>
        </w:rPr>
      </w:pPr>
    </w:p>
    <w:p w14:paraId="265D4FA5" w14:textId="77777777" w:rsidR="00694338" w:rsidRDefault="00694338">
      <w:pPr>
        <w:jc w:val="left"/>
        <w:rPr>
          <w:sz w:val="24"/>
        </w:rPr>
      </w:pPr>
      <w:r>
        <w:rPr>
          <w:sz w:val="24"/>
        </w:rPr>
        <w:br w:type="page"/>
      </w:r>
    </w:p>
    <w:p w14:paraId="7EDD6BB3" w14:textId="7D7C5888" w:rsidR="00850BAE" w:rsidRPr="00694338" w:rsidRDefault="00C44AE1" w:rsidP="000B550F">
      <w:pPr>
        <w:rPr>
          <w:sz w:val="24"/>
        </w:rPr>
      </w:pPr>
      <w:r w:rsidRPr="00694338">
        <w:rPr>
          <w:sz w:val="24"/>
        </w:rPr>
        <w:lastRenderedPageBreak/>
        <w:t>A range of comments are provided below to support this</w:t>
      </w:r>
      <w:r w:rsidR="00ED3326" w:rsidRPr="00694338">
        <w:rPr>
          <w:sz w:val="24"/>
        </w:rPr>
        <w:t>:</w:t>
      </w:r>
    </w:p>
    <w:p w14:paraId="2659FEA0" w14:textId="446F0D0D" w:rsidR="00D001FC" w:rsidRPr="00694338" w:rsidRDefault="00ED3326" w:rsidP="00CA35D9">
      <w:pPr>
        <w:pStyle w:val="Bullet"/>
        <w:rPr>
          <w:i/>
          <w:iCs/>
          <w:sz w:val="24"/>
          <w:szCs w:val="24"/>
        </w:rPr>
      </w:pPr>
      <w:r w:rsidRPr="00694338">
        <w:rPr>
          <w:i/>
          <w:iCs/>
          <w:sz w:val="24"/>
          <w:szCs w:val="24"/>
        </w:rPr>
        <w:t>“</w:t>
      </w:r>
      <w:r w:rsidR="007D0C06" w:rsidRPr="00694338">
        <w:rPr>
          <w:i/>
          <w:iCs/>
          <w:sz w:val="24"/>
          <w:szCs w:val="24"/>
        </w:rPr>
        <w:t xml:space="preserve">Having the </w:t>
      </w:r>
      <w:r w:rsidR="007D0C06" w:rsidRPr="00694338">
        <w:rPr>
          <w:b/>
          <w:bCs/>
          <w:i/>
          <w:iCs/>
          <w:sz w:val="24"/>
          <w:szCs w:val="24"/>
        </w:rPr>
        <w:t>matrix</w:t>
      </w:r>
      <w:r w:rsidR="007D0C06" w:rsidRPr="00694338">
        <w:rPr>
          <w:i/>
          <w:iCs/>
          <w:sz w:val="24"/>
          <w:szCs w:val="24"/>
        </w:rPr>
        <w:t xml:space="preserve"> Standard</w:t>
      </w:r>
      <w:r w:rsidR="00D77C9E" w:rsidRPr="00694338">
        <w:rPr>
          <w:i/>
          <w:iCs/>
          <w:sz w:val="24"/>
          <w:szCs w:val="24"/>
        </w:rPr>
        <w:t xml:space="preserve"> </w:t>
      </w:r>
      <w:r w:rsidR="0029335F" w:rsidRPr="00694338">
        <w:rPr>
          <w:i/>
          <w:iCs/>
          <w:sz w:val="24"/>
          <w:szCs w:val="24"/>
        </w:rPr>
        <w:t>ensure</w:t>
      </w:r>
      <w:r w:rsidR="009774BD" w:rsidRPr="00694338">
        <w:rPr>
          <w:i/>
          <w:iCs/>
          <w:sz w:val="24"/>
          <w:szCs w:val="24"/>
        </w:rPr>
        <w:t>s</w:t>
      </w:r>
      <w:r w:rsidR="00AF129E" w:rsidRPr="00694338">
        <w:rPr>
          <w:i/>
          <w:iCs/>
          <w:sz w:val="24"/>
          <w:szCs w:val="24"/>
        </w:rPr>
        <w:t xml:space="preserve"> providers are consistently </w:t>
      </w:r>
      <w:r w:rsidR="008A7BEF" w:rsidRPr="00694338">
        <w:rPr>
          <w:i/>
          <w:iCs/>
          <w:sz w:val="24"/>
          <w:szCs w:val="24"/>
        </w:rPr>
        <w:t xml:space="preserve">working to the same high </w:t>
      </w:r>
      <w:r w:rsidR="00523223" w:rsidRPr="00694338">
        <w:rPr>
          <w:i/>
          <w:iCs/>
          <w:sz w:val="24"/>
          <w:szCs w:val="24"/>
        </w:rPr>
        <w:t>standards”.</w:t>
      </w:r>
    </w:p>
    <w:p w14:paraId="0B83AD7D" w14:textId="0B3EA661" w:rsidR="002E7A7F" w:rsidRPr="00694338" w:rsidRDefault="00ED3326" w:rsidP="00CA35D9">
      <w:pPr>
        <w:pStyle w:val="Bullet"/>
        <w:rPr>
          <w:i/>
          <w:iCs/>
          <w:sz w:val="24"/>
          <w:szCs w:val="24"/>
        </w:rPr>
      </w:pPr>
      <w:r w:rsidRPr="00694338">
        <w:rPr>
          <w:i/>
          <w:iCs/>
          <w:sz w:val="24"/>
          <w:szCs w:val="24"/>
        </w:rPr>
        <w:t>“</w:t>
      </w:r>
      <w:r w:rsidR="00D62F9D" w:rsidRPr="00694338">
        <w:rPr>
          <w:i/>
          <w:iCs/>
          <w:sz w:val="24"/>
          <w:szCs w:val="24"/>
        </w:rPr>
        <w:t>Running on</w:t>
      </w:r>
      <w:r w:rsidR="00D001FC" w:rsidRPr="00694338">
        <w:rPr>
          <w:i/>
          <w:iCs/>
          <w:sz w:val="24"/>
          <w:szCs w:val="24"/>
        </w:rPr>
        <w:t xml:space="preserve"> tight margins </w:t>
      </w:r>
      <w:r w:rsidR="008A7BEF" w:rsidRPr="00694338">
        <w:rPr>
          <w:i/>
          <w:iCs/>
          <w:sz w:val="24"/>
          <w:szCs w:val="24"/>
        </w:rPr>
        <w:t xml:space="preserve">as we do </w:t>
      </w:r>
      <w:r w:rsidR="0029335F" w:rsidRPr="00694338">
        <w:rPr>
          <w:i/>
          <w:iCs/>
          <w:sz w:val="24"/>
          <w:szCs w:val="24"/>
        </w:rPr>
        <w:t xml:space="preserve">it </w:t>
      </w:r>
      <w:r w:rsidR="002E7A7F" w:rsidRPr="00694338">
        <w:rPr>
          <w:i/>
          <w:iCs/>
          <w:sz w:val="24"/>
          <w:szCs w:val="24"/>
        </w:rPr>
        <w:t>ensures that</w:t>
      </w:r>
      <w:r w:rsidR="00A64CF9" w:rsidRPr="00694338">
        <w:rPr>
          <w:i/>
          <w:iCs/>
          <w:sz w:val="24"/>
          <w:szCs w:val="24"/>
        </w:rPr>
        <w:t xml:space="preserve"> our</w:t>
      </w:r>
      <w:r w:rsidR="002E7A7F" w:rsidRPr="00694338">
        <w:rPr>
          <w:i/>
          <w:iCs/>
          <w:sz w:val="24"/>
          <w:szCs w:val="24"/>
        </w:rPr>
        <w:t xml:space="preserve"> leadership prioriti</w:t>
      </w:r>
      <w:r w:rsidRPr="00694338">
        <w:rPr>
          <w:i/>
          <w:iCs/>
          <w:sz w:val="24"/>
          <w:szCs w:val="24"/>
        </w:rPr>
        <w:t>ses</w:t>
      </w:r>
      <w:r w:rsidR="007E60E5" w:rsidRPr="00694338">
        <w:rPr>
          <w:i/>
          <w:iCs/>
          <w:sz w:val="24"/>
          <w:szCs w:val="24"/>
        </w:rPr>
        <w:t xml:space="preserve"> </w:t>
      </w:r>
      <w:r w:rsidR="00656B83" w:rsidRPr="00694338">
        <w:rPr>
          <w:i/>
          <w:iCs/>
          <w:sz w:val="24"/>
          <w:szCs w:val="24"/>
        </w:rPr>
        <w:t xml:space="preserve">the delivery of </w:t>
      </w:r>
      <w:r w:rsidR="007E60E5" w:rsidRPr="00694338">
        <w:rPr>
          <w:i/>
          <w:iCs/>
          <w:sz w:val="24"/>
          <w:szCs w:val="24"/>
        </w:rPr>
        <w:t xml:space="preserve">high quality </w:t>
      </w:r>
      <w:r w:rsidR="00523223" w:rsidRPr="00694338">
        <w:rPr>
          <w:i/>
          <w:iCs/>
          <w:sz w:val="24"/>
          <w:szCs w:val="24"/>
        </w:rPr>
        <w:t>IAG”.</w:t>
      </w:r>
    </w:p>
    <w:p w14:paraId="3C48F14D" w14:textId="6C65EF27" w:rsidR="00C83064" w:rsidRPr="00694338" w:rsidRDefault="00ED3326" w:rsidP="00CA35D9">
      <w:pPr>
        <w:pStyle w:val="Bullet"/>
        <w:rPr>
          <w:i/>
          <w:iCs/>
          <w:sz w:val="24"/>
          <w:szCs w:val="24"/>
        </w:rPr>
      </w:pPr>
      <w:r w:rsidRPr="00694338">
        <w:rPr>
          <w:i/>
          <w:iCs/>
          <w:sz w:val="24"/>
          <w:szCs w:val="24"/>
        </w:rPr>
        <w:t>“</w:t>
      </w:r>
      <w:r w:rsidR="00341D7C" w:rsidRPr="00694338">
        <w:rPr>
          <w:i/>
          <w:iCs/>
          <w:sz w:val="24"/>
          <w:szCs w:val="24"/>
        </w:rPr>
        <w:t xml:space="preserve">A </w:t>
      </w:r>
      <w:r w:rsidR="0036263B" w:rsidRPr="00694338">
        <w:rPr>
          <w:i/>
          <w:iCs/>
          <w:sz w:val="24"/>
          <w:szCs w:val="24"/>
        </w:rPr>
        <w:t>3</w:t>
      </w:r>
      <w:r w:rsidR="00BA234A" w:rsidRPr="00694338">
        <w:rPr>
          <w:i/>
          <w:iCs/>
          <w:sz w:val="24"/>
          <w:szCs w:val="24"/>
        </w:rPr>
        <w:t>-</w:t>
      </w:r>
      <w:r w:rsidR="0036263B" w:rsidRPr="00694338">
        <w:rPr>
          <w:i/>
          <w:iCs/>
          <w:sz w:val="24"/>
          <w:szCs w:val="24"/>
        </w:rPr>
        <w:t>year assessment cycle backed by annual checks</w:t>
      </w:r>
      <w:r w:rsidR="001666DB" w:rsidRPr="00694338">
        <w:rPr>
          <w:i/>
          <w:iCs/>
          <w:sz w:val="24"/>
          <w:szCs w:val="24"/>
        </w:rPr>
        <w:t xml:space="preserve"> ensures</w:t>
      </w:r>
      <w:r w:rsidR="00F13D09" w:rsidRPr="00694338">
        <w:rPr>
          <w:i/>
          <w:iCs/>
          <w:sz w:val="24"/>
          <w:szCs w:val="24"/>
        </w:rPr>
        <w:t xml:space="preserve"> we are improving our </w:t>
      </w:r>
      <w:r w:rsidR="00154D93" w:rsidRPr="00694338">
        <w:rPr>
          <w:i/>
          <w:iCs/>
          <w:sz w:val="24"/>
          <w:szCs w:val="24"/>
        </w:rPr>
        <w:t xml:space="preserve">deliver of </w:t>
      </w:r>
      <w:r w:rsidR="00523223" w:rsidRPr="00694338">
        <w:rPr>
          <w:i/>
          <w:iCs/>
          <w:sz w:val="24"/>
          <w:szCs w:val="24"/>
        </w:rPr>
        <w:t>IAG”.</w:t>
      </w:r>
    </w:p>
    <w:p w14:paraId="25D56EBA" w14:textId="77777777" w:rsidR="00EE4351" w:rsidRDefault="00ED3326" w:rsidP="00626002">
      <w:pPr>
        <w:pStyle w:val="Bullet"/>
        <w:rPr>
          <w:i/>
          <w:iCs/>
          <w:sz w:val="24"/>
          <w:szCs w:val="24"/>
        </w:rPr>
      </w:pPr>
      <w:r w:rsidRPr="00EE4351">
        <w:rPr>
          <w:i/>
          <w:iCs/>
          <w:sz w:val="24"/>
          <w:szCs w:val="24"/>
        </w:rPr>
        <w:t>“</w:t>
      </w:r>
      <w:r w:rsidR="00755AE0" w:rsidRPr="00EE4351">
        <w:rPr>
          <w:i/>
          <w:iCs/>
          <w:sz w:val="24"/>
          <w:szCs w:val="24"/>
        </w:rPr>
        <w:t xml:space="preserve">The feedback from our assessor is invaluable </w:t>
      </w:r>
      <w:r w:rsidR="00D97A99" w:rsidRPr="00EE4351">
        <w:rPr>
          <w:i/>
          <w:iCs/>
          <w:sz w:val="24"/>
          <w:szCs w:val="24"/>
        </w:rPr>
        <w:t>with their experience they</w:t>
      </w:r>
      <w:r w:rsidR="00755AE0" w:rsidRPr="00EE4351">
        <w:rPr>
          <w:i/>
          <w:iCs/>
          <w:sz w:val="24"/>
          <w:szCs w:val="24"/>
        </w:rPr>
        <w:t xml:space="preserve"> always </w:t>
      </w:r>
      <w:r w:rsidR="00D97A99" w:rsidRPr="00EE4351">
        <w:rPr>
          <w:i/>
          <w:iCs/>
          <w:sz w:val="24"/>
          <w:szCs w:val="24"/>
        </w:rPr>
        <w:t xml:space="preserve">provide great insight to improve the </w:t>
      </w:r>
      <w:r w:rsidR="00523223" w:rsidRPr="00EE4351">
        <w:rPr>
          <w:i/>
          <w:iCs/>
          <w:sz w:val="24"/>
          <w:szCs w:val="24"/>
        </w:rPr>
        <w:t>service”.</w:t>
      </w:r>
    </w:p>
    <w:p w14:paraId="1F95588E" w14:textId="60FEB0E7" w:rsidR="00EE0831" w:rsidRPr="00EE4351" w:rsidRDefault="00755AE0" w:rsidP="00626002">
      <w:pPr>
        <w:pStyle w:val="Bullet"/>
        <w:rPr>
          <w:i/>
          <w:iCs/>
          <w:sz w:val="24"/>
          <w:szCs w:val="24"/>
        </w:rPr>
      </w:pPr>
      <w:r w:rsidRPr="00EE4351">
        <w:rPr>
          <w:i/>
          <w:iCs/>
          <w:sz w:val="24"/>
          <w:szCs w:val="24"/>
        </w:rPr>
        <w:t xml:space="preserve"> </w:t>
      </w:r>
      <w:r w:rsidR="00154D93" w:rsidRPr="00EE4351">
        <w:rPr>
          <w:sz w:val="24"/>
          <w:szCs w:val="24"/>
        </w:rPr>
        <w:t>“</w:t>
      </w:r>
      <w:r w:rsidR="00EE4351" w:rsidRPr="00EE4351">
        <w:rPr>
          <w:i/>
          <w:iCs/>
          <w:sz w:val="24"/>
          <w:szCs w:val="24"/>
        </w:rPr>
        <w:t>T</w:t>
      </w:r>
      <w:r w:rsidR="003272E1" w:rsidRPr="00EE4351">
        <w:rPr>
          <w:i/>
          <w:iCs/>
          <w:sz w:val="24"/>
          <w:szCs w:val="24"/>
        </w:rPr>
        <w:t xml:space="preserve">he revised </w:t>
      </w:r>
      <w:r w:rsidR="005B2A19" w:rsidRPr="00EE4351">
        <w:rPr>
          <w:i/>
          <w:iCs/>
          <w:sz w:val="24"/>
          <w:szCs w:val="24"/>
        </w:rPr>
        <w:t>Standard</w:t>
      </w:r>
      <w:r w:rsidR="003272E1" w:rsidRPr="00EE4351">
        <w:rPr>
          <w:i/>
          <w:iCs/>
          <w:sz w:val="24"/>
          <w:szCs w:val="24"/>
        </w:rPr>
        <w:t xml:space="preserve"> </w:t>
      </w:r>
      <w:r w:rsidR="00C97691" w:rsidRPr="00EE4351">
        <w:rPr>
          <w:i/>
          <w:iCs/>
          <w:sz w:val="24"/>
          <w:szCs w:val="24"/>
        </w:rPr>
        <w:t xml:space="preserve">supported better </w:t>
      </w:r>
      <w:r w:rsidR="00121E42" w:rsidRPr="00EE4351">
        <w:rPr>
          <w:i/>
          <w:iCs/>
          <w:sz w:val="24"/>
          <w:szCs w:val="24"/>
        </w:rPr>
        <w:t>improvement planning</w:t>
      </w:r>
      <w:r w:rsidR="00154D93" w:rsidRPr="00EE4351">
        <w:rPr>
          <w:i/>
          <w:iCs/>
          <w:sz w:val="24"/>
          <w:szCs w:val="24"/>
        </w:rPr>
        <w:t>”</w:t>
      </w:r>
      <w:r w:rsidR="00EE0831" w:rsidRPr="00EE4351">
        <w:rPr>
          <w:i/>
          <w:iCs/>
          <w:sz w:val="24"/>
          <w:szCs w:val="24"/>
        </w:rPr>
        <w:t>.</w:t>
      </w:r>
    </w:p>
    <w:p w14:paraId="4E31EC2D" w14:textId="77777777" w:rsidR="000832F9" w:rsidRPr="00694338" w:rsidRDefault="000832F9" w:rsidP="002217F7">
      <w:pPr>
        <w:rPr>
          <w:rFonts w:cs="Arial"/>
          <w:sz w:val="24"/>
        </w:rPr>
      </w:pPr>
    </w:p>
    <w:p w14:paraId="1828FD88" w14:textId="3D6C383B" w:rsidR="00523223" w:rsidRPr="00694338" w:rsidRDefault="000832F9" w:rsidP="002217F7">
      <w:pPr>
        <w:rPr>
          <w:rFonts w:cs="Arial"/>
          <w:sz w:val="24"/>
        </w:rPr>
      </w:pPr>
      <w:r w:rsidRPr="00694338">
        <w:rPr>
          <w:rFonts w:cs="Arial"/>
          <w:sz w:val="24"/>
        </w:rPr>
        <w:t xml:space="preserve">The </w:t>
      </w:r>
      <w:r w:rsidR="00C2547A" w:rsidRPr="00694338">
        <w:rPr>
          <w:rFonts w:cs="Arial"/>
          <w:sz w:val="24"/>
        </w:rPr>
        <w:t xml:space="preserve">feedback gathered </w:t>
      </w:r>
      <w:r w:rsidR="00A2487F" w:rsidRPr="00694338">
        <w:rPr>
          <w:rFonts w:cs="Arial"/>
          <w:sz w:val="24"/>
        </w:rPr>
        <w:t>throughout the</w:t>
      </w:r>
      <w:r w:rsidR="00066AA7" w:rsidRPr="00694338">
        <w:rPr>
          <w:rFonts w:cs="Arial"/>
          <w:sz w:val="24"/>
        </w:rPr>
        <w:t xml:space="preserve"> SWOT about</w:t>
      </w:r>
      <w:r w:rsidR="00A2487F" w:rsidRPr="00694338">
        <w:rPr>
          <w:rFonts w:cs="Arial"/>
          <w:sz w:val="24"/>
        </w:rPr>
        <w:t xml:space="preserve"> </w:t>
      </w:r>
      <w:r w:rsidRPr="00694338">
        <w:rPr>
          <w:rFonts w:cs="Arial"/>
          <w:sz w:val="24"/>
        </w:rPr>
        <w:t>the assessment process</w:t>
      </w:r>
      <w:r w:rsidR="006034E2" w:rsidRPr="00694338">
        <w:rPr>
          <w:rFonts w:cs="Arial"/>
          <w:sz w:val="24"/>
        </w:rPr>
        <w:t xml:space="preserve"> was </w:t>
      </w:r>
      <w:r w:rsidR="000917E3" w:rsidRPr="00694338">
        <w:rPr>
          <w:rFonts w:cs="Arial"/>
          <w:sz w:val="24"/>
        </w:rPr>
        <w:t xml:space="preserve">broadly </w:t>
      </w:r>
      <w:r w:rsidR="006034E2" w:rsidRPr="00694338">
        <w:rPr>
          <w:rFonts w:cs="Arial"/>
          <w:sz w:val="24"/>
        </w:rPr>
        <w:t>positive</w:t>
      </w:r>
      <w:r w:rsidR="00640E2E" w:rsidRPr="00694338">
        <w:rPr>
          <w:rFonts w:cs="Arial"/>
          <w:sz w:val="24"/>
        </w:rPr>
        <w:t xml:space="preserve">. </w:t>
      </w:r>
      <w:r w:rsidRPr="00694338">
        <w:rPr>
          <w:rFonts w:cs="Arial"/>
          <w:sz w:val="24"/>
        </w:rPr>
        <w:t xml:space="preserve">Organisations valued the external perspective and professionalism of the </w:t>
      </w:r>
      <w:r w:rsidRPr="00694338">
        <w:rPr>
          <w:rFonts w:cs="Arial"/>
          <w:b/>
          <w:bCs/>
          <w:sz w:val="24"/>
        </w:rPr>
        <w:t xml:space="preserve">matrix </w:t>
      </w:r>
      <w:r w:rsidRPr="00694338">
        <w:rPr>
          <w:rFonts w:cs="Arial"/>
          <w:sz w:val="24"/>
        </w:rPr>
        <w:t>assessor</w:t>
      </w:r>
      <w:r w:rsidR="00620CC3" w:rsidRPr="00694338">
        <w:rPr>
          <w:rFonts w:cs="Arial"/>
          <w:sz w:val="24"/>
        </w:rPr>
        <w:t>s</w:t>
      </w:r>
      <w:r w:rsidR="002205EF" w:rsidRPr="00694338">
        <w:rPr>
          <w:rFonts w:cs="Arial"/>
          <w:sz w:val="24"/>
        </w:rPr>
        <w:t>,</w:t>
      </w:r>
      <w:r w:rsidR="00620CC3" w:rsidRPr="00694338">
        <w:rPr>
          <w:rFonts w:cs="Arial"/>
          <w:sz w:val="24"/>
        </w:rPr>
        <w:t xml:space="preserve"> provid</w:t>
      </w:r>
      <w:r w:rsidR="002205EF" w:rsidRPr="00694338">
        <w:rPr>
          <w:rFonts w:cs="Arial"/>
          <w:sz w:val="24"/>
        </w:rPr>
        <w:t>ing</w:t>
      </w:r>
      <w:r w:rsidR="00620CC3" w:rsidRPr="00694338">
        <w:rPr>
          <w:rFonts w:cs="Arial"/>
          <w:sz w:val="24"/>
        </w:rPr>
        <w:t xml:space="preserve"> insights into the strengths and improvement areas</w:t>
      </w:r>
      <w:r w:rsidR="00BA5EF6" w:rsidRPr="00694338">
        <w:rPr>
          <w:rFonts w:cs="Arial"/>
          <w:sz w:val="24"/>
        </w:rPr>
        <w:t xml:space="preserve"> for their IAG service</w:t>
      </w:r>
      <w:r w:rsidRPr="00694338">
        <w:rPr>
          <w:rFonts w:cs="Arial"/>
          <w:sz w:val="24"/>
        </w:rPr>
        <w:t>.</w:t>
      </w:r>
      <w:r w:rsidR="003641A6" w:rsidRPr="00694338">
        <w:rPr>
          <w:rFonts w:cs="Arial"/>
          <w:sz w:val="24"/>
        </w:rPr>
        <w:t xml:space="preserve"> </w:t>
      </w:r>
    </w:p>
    <w:p w14:paraId="330DEC2C" w14:textId="77777777" w:rsidR="00523223" w:rsidRPr="00694338" w:rsidRDefault="00523223" w:rsidP="002217F7">
      <w:pPr>
        <w:rPr>
          <w:rFonts w:cs="Arial"/>
          <w:sz w:val="24"/>
        </w:rPr>
      </w:pPr>
    </w:p>
    <w:p w14:paraId="6C3E63C5" w14:textId="5C323020" w:rsidR="000832F9" w:rsidRPr="00694338" w:rsidRDefault="00641236" w:rsidP="002217F7">
      <w:pPr>
        <w:rPr>
          <w:rFonts w:cs="Arial"/>
          <w:sz w:val="24"/>
        </w:rPr>
      </w:pPr>
      <w:r w:rsidRPr="00694338">
        <w:rPr>
          <w:rFonts w:cs="Arial"/>
          <w:sz w:val="24"/>
        </w:rPr>
        <w:t>Some stake</w:t>
      </w:r>
      <w:r w:rsidR="00CD62A9" w:rsidRPr="00694338">
        <w:rPr>
          <w:rFonts w:cs="Arial"/>
          <w:sz w:val="24"/>
        </w:rPr>
        <w:t xml:space="preserve">holders such as </w:t>
      </w:r>
      <w:r w:rsidR="00ED40C6" w:rsidRPr="00694338">
        <w:rPr>
          <w:rFonts w:cs="Arial"/>
          <w:sz w:val="24"/>
        </w:rPr>
        <w:t xml:space="preserve">organisations who deliver </w:t>
      </w:r>
      <w:r w:rsidR="007B1671" w:rsidRPr="00694338">
        <w:rPr>
          <w:rFonts w:cs="Arial"/>
          <w:sz w:val="24"/>
        </w:rPr>
        <w:t xml:space="preserve">the </w:t>
      </w:r>
      <w:r w:rsidR="00CD62A9" w:rsidRPr="00694338">
        <w:rPr>
          <w:rFonts w:cs="Arial"/>
          <w:sz w:val="24"/>
        </w:rPr>
        <w:t xml:space="preserve">National Careers Service </w:t>
      </w:r>
      <w:r w:rsidR="002205EF" w:rsidRPr="00694338">
        <w:rPr>
          <w:rFonts w:cs="Arial"/>
          <w:sz w:val="24"/>
        </w:rPr>
        <w:t xml:space="preserve">identified that </w:t>
      </w:r>
      <w:r w:rsidR="003816C9" w:rsidRPr="00694338">
        <w:rPr>
          <w:rFonts w:cs="Arial"/>
          <w:sz w:val="24"/>
        </w:rPr>
        <w:t>the assessment process could be more rigorous for</w:t>
      </w:r>
      <w:r w:rsidR="008C671A" w:rsidRPr="00694338">
        <w:rPr>
          <w:rFonts w:cs="Arial"/>
          <w:sz w:val="24"/>
        </w:rPr>
        <w:t xml:space="preserve"> multi-facetted IAG providers where the National Careers Service is</w:t>
      </w:r>
      <w:r w:rsidR="007F3D02" w:rsidRPr="00694338">
        <w:rPr>
          <w:rFonts w:cs="Arial"/>
          <w:sz w:val="24"/>
        </w:rPr>
        <w:t xml:space="preserve"> just a part of the </w:t>
      </w:r>
      <w:r w:rsidR="0E5D2B21" w:rsidRPr="00694338">
        <w:rPr>
          <w:rFonts w:cs="Arial"/>
          <w:sz w:val="24"/>
        </w:rPr>
        <w:t>service they deliver</w:t>
      </w:r>
      <w:r w:rsidR="007F3D02" w:rsidRPr="00694338">
        <w:rPr>
          <w:rFonts w:cs="Arial"/>
          <w:sz w:val="24"/>
        </w:rPr>
        <w:t xml:space="preserve">.  </w:t>
      </w:r>
      <w:r w:rsidR="000917E3" w:rsidRPr="00694338">
        <w:rPr>
          <w:rFonts w:cs="Arial"/>
          <w:sz w:val="24"/>
        </w:rPr>
        <w:t>Also, a</w:t>
      </w:r>
      <w:r w:rsidR="007F3D02" w:rsidRPr="00694338">
        <w:rPr>
          <w:rFonts w:cs="Arial"/>
          <w:sz w:val="24"/>
        </w:rPr>
        <w:t>ssessors had some c</w:t>
      </w:r>
      <w:r w:rsidR="00723C49" w:rsidRPr="00694338">
        <w:rPr>
          <w:rFonts w:cs="Arial"/>
          <w:sz w:val="24"/>
        </w:rPr>
        <w:t>oncerns</w:t>
      </w:r>
      <w:r w:rsidR="007F3D02" w:rsidRPr="00694338">
        <w:rPr>
          <w:rFonts w:cs="Arial"/>
          <w:sz w:val="24"/>
        </w:rPr>
        <w:t xml:space="preserve"> about the rigour of </w:t>
      </w:r>
      <w:r w:rsidR="00723C49" w:rsidRPr="00694338">
        <w:rPr>
          <w:rFonts w:cs="Arial"/>
          <w:sz w:val="24"/>
        </w:rPr>
        <w:t xml:space="preserve">some </w:t>
      </w:r>
      <w:r w:rsidR="007F3D02" w:rsidRPr="00694338">
        <w:rPr>
          <w:rFonts w:cs="Arial"/>
          <w:sz w:val="24"/>
        </w:rPr>
        <w:t>large</w:t>
      </w:r>
      <w:r w:rsidR="00723C49" w:rsidRPr="00694338">
        <w:rPr>
          <w:rFonts w:cs="Arial"/>
          <w:sz w:val="24"/>
        </w:rPr>
        <w:t xml:space="preserve"> multi-campus FE pr</w:t>
      </w:r>
      <w:r w:rsidR="008062CE" w:rsidRPr="00694338">
        <w:rPr>
          <w:rFonts w:cs="Arial"/>
          <w:sz w:val="24"/>
        </w:rPr>
        <w:t>o</w:t>
      </w:r>
      <w:r w:rsidR="00AF3411" w:rsidRPr="00694338">
        <w:rPr>
          <w:rFonts w:cs="Arial"/>
          <w:sz w:val="24"/>
        </w:rPr>
        <w:t>vi</w:t>
      </w:r>
      <w:r w:rsidR="008062CE" w:rsidRPr="00694338">
        <w:rPr>
          <w:rFonts w:cs="Arial"/>
          <w:sz w:val="24"/>
        </w:rPr>
        <w:t>sion</w:t>
      </w:r>
      <w:r w:rsidR="00AF3411" w:rsidRPr="00694338">
        <w:rPr>
          <w:rFonts w:cs="Arial"/>
          <w:sz w:val="24"/>
        </w:rPr>
        <w:t xml:space="preserve"> and reco</w:t>
      </w:r>
      <w:r w:rsidR="00341CD4" w:rsidRPr="00694338">
        <w:rPr>
          <w:rFonts w:cs="Arial"/>
          <w:sz w:val="24"/>
        </w:rPr>
        <w:t>mmended looking at the sampling.</w:t>
      </w:r>
      <w:r w:rsidR="00723C49" w:rsidRPr="00694338">
        <w:rPr>
          <w:rFonts w:cs="Arial"/>
          <w:sz w:val="24"/>
        </w:rPr>
        <w:t xml:space="preserve"> </w:t>
      </w:r>
      <w:r w:rsidR="008C671A" w:rsidRPr="00694338">
        <w:rPr>
          <w:rFonts w:cs="Arial"/>
          <w:sz w:val="24"/>
        </w:rPr>
        <w:t xml:space="preserve"> </w:t>
      </w:r>
      <w:r w:rsidR="003816C9" w:rsidRPr="00694338">
        <w:rPr>
          <w:rFonts w:cs="Arial"/>
          <w:sz w:val="24"/>
        </w:rPr>
        <w:t xml:space="preserve"> </w:t>
      </w:r>
      <w:r w:rsidR="00CD62A9" w:rsidRPr="00694338">
        <w:rPr>
          <w:rFonts w:cs="Arial"/>
          <w:sz w:val="24"/>
        </w:rPr>
        <w:t xml:space="preserve"> </w:t>
      </w:r>
      <w:r w:rsidR="003641A6" w:rsidRPr="00694338">
        <w:rPr>
          <w:rFonts w:cs="Arial"/>
          <w:sz w:val="24"/>
        </w:rPr>
        <w:t xml:space="preserve"> </w:t>
      </w:r>
    </w:p>
    <w:p w14:paraId="488CD826" w14:textId="77777777" w:rsidR="00503EC9" w:rsidRPr="00694338" w:rsidRDefault="00503EC9" w:rsidP="002217F7">
      <w:pPr>
        <w:rPr>
          <w:rFonts w:cs="Arial"/>
          <w:sz w:val="24"/>
        </w:rPr>
      </w:pPr>
    </w:p>
    <w:p w14:paraId="59098B50" w14:textId="2E751A41" w:rsidR="00BE513D" w:rsidRPr="00694338" w:rsidRDefault="0026728C" w:rsidP="00523223">
      <w:pPr>
        <w:rPr>
          <w:rFonts w:asciiTheme="majorHAnsi" w:eastAsiaTheme="majorEastAsia" w:hAnsiTheme="majorHAnsi" w:cstheme="majorBidi"/>
          <w:bCs/>
          <w:color w:val="2F5496" w:themeColor="accent1" w:themeShade="BF"/>
          <w:sz w:val="24"/>
        </w:rPr>
      </w:pPr>
      <w:r w:rsidRPr="00694338">
        <w:rPr>
          <w:rFonts w:cs="Arial"/>
          <w:sz w:val="24"/>
        </w:rPr>
        <w:t>This feedback</w:t>
      </w:r>
      <w:r w:rsidR="008032FF" w:rsidRPr="00694338">
        <w:rPr>
          <w:rFonts w:cs="Arial"/>
          <w:sz w:val="24"/>
        </w:rPr>
        <w:t>,</w:t>
      </w:r>
      <w:r w:rsidRPr="00694338">
        <w:rPr>
          <w:rFonts w:cs="Arial"/>
          <w:sz w:val="24"/>
        </w:rPr>
        <w:t xml:space="preserve"> coupled with the literature review</w:t>
      </w:r>
      <w:r w:rsidR="005553E8" w:rsidRPr="00694338">
        <w:rPr>
          <w:rFonts w:cs="Arial"/>
          <w:sz w:val="24"/>
        </w:rPr>
        <w:t xml:space="preserve">, the advisory group, </w:t>
      </w:r>
      <w:r w:rsidR="00111C6C" w:rsidRPr="00694338">
        <w:rPr>
          <w:rFonts w:cs="Arial"/>
          <w:sz w:val="24"/>
        </w:rPr>
        <w:t xml:space="preserve">and </w:t>
      </w:r>
      <w:r w:rsidR="005553E8" w:rsidRPr="00694338">
        <w:rPr>
          <w:rFonts w:cs="Arial"/>
          <w:sz w:val="24"/>
        </w:rPr>
        <w:t>surveys</w:t>
      </w:r>
      <w:r w:rsidR="00ED3326" w:rsidRPr="00694338">
        <w:rPr>
          <w:rFonts w:cs="Arial"/>
          <w:sz w:val="24"/>
        </w:rPr>
        <w:t>,</w:t>
      </w:r>
      <w:r w:rsidR="005553E8" w:rsidRPr="00694338">
        <w:rPr>
          <w:rFonts w:cs="Arial"/>
          <w:sz w:val="24"/>
        </w:rPr>
        <w:t xml:space="preserve"> </w:t>
      </w:r>
      <w:r w:rsidR="00111C6C" w:rsidRPr="00694338">
        <w:rPr>
          <w:rFonts w:cs="Arial"/>
          <w:sz w:val="24"/>
        </w:rPr>
        <w:t>was critical in</w:t>
      </w:r>
      <w:r w:rsidR="001C6C72" w:rsidRPr="00694338">
        <w:rPr>
          <w:rFonts w:cs="Arial"/>
          <w:sz w:val="24"/>
        </w:rPr>
        <w:t xml:space="preserve"> identifying the changes required to the Standard and the </w:t>
      </w:r>
      <w:r w:rsidR="00503EC9" w:rsidRPr="00694338">
        <w:rPr>
          <w:rFonts w:cs="Arial"/>
          <w:sz w:val="24"/>
        </w:rPr>
        <w:t>a</w:t>
      </w:r>
      <w:r w:rsidR="001C6C72" w:rsidRPr="00694338">
        <w:rPr>
          <w:rFonts w:cs="Arial"/>
          <w:sz w:val="24"/>
        </w:rPr>
        <w:t xml:space="preserve">ssessment </w:t>
      </w:r>
      <w:r w:rsidR="00503EC9" w:rsidRPr="00694338">
        <w:rPr>
          <w:rFonts w:cs="Arial"/>
          <w:sz w:val="24"/>
        </w:rPr>
        <w:t>p</w:t>
      </w:r>
      <w:r w:rsidR="001C6C72" w:rsidRPr="00694338">
        <w:rPr>
          <w:rFonts w:cs="Arial"/>
          <w:sz w:val="24"/>
        </w:rPr>
        <w:t>rocess</w:t>
      </w:r>
      <w:r w:rsidR="00EE0831" w:rsidRPr="00694338">
        <w:rPr>
          <w:rFonts w:cs="Arial"/>
          <w:sz w:val="24"/>
        </w:rPr>
        <w:t>.</w:t>
      </w:r>
    </w:p>
    <w:p w14:paraId="5FF213D6" w14:textId="77777777" w:rsidR="00E15467" w:rsidRDefault="00E15467">
      <w:pPr>
        <w:jc w:val="left"/>
        <w:rPr>
          <w:rFonts w:asciiTheme="majorHAnsi" w:eastAsiaTheme="majorEastAsia" w:hAnsiTheme="majorHAnsi" w:cstheme="majorBidi"/>
          <w:bCs/>
          <w:color w:val="003087"/>
          <w:sz w:val="40"/>
          <w:szCs w:val="40"/>
        </w:rPr>
      </w:pPr>
      <w:bookmarkStart w:id="24" w:name="_Toc116456714"/>
      <w:r>
        <w:br w:type="page"/>
      </w:r>
    </w:p>
    <w:p w14:paraId="686D337B" w14:textId="46EF2883" w:rsidR="005778DF" w:rsidRPr="00C36FBC" w:rsidRDefault="005778DF" w:rsidP="000B550F">
      <w:pPr>
        <w:pStyle w:val="Heading1"/>
      </w:pPr>
      <w:bookmarkStart w:id="25" w:name="_Toc129688501"/>
      <w:r w:rsidRPr="00C36FBC">
        <w:lastRenderedPageBreak/>
        <w:t>Key Stakeholder Engagement</w:t>
      </w:r>
      <w:bookmarkEnd w:id="24"/>
      <w:bookmarkEnd w:id="25"/>
    </w:p>
    <w:p w14:paraId="01C87E56" w14:textId="77777777" w:rsidR="0059349B" w:rsidRPr="00C36FBC" w:rsidRDefault="0059349B" w:rsidP="002217F7"/>
    <w:p w14:paraId="6AAE1234" w14:textId="09E7D992" w:rsidR="00BE7B5A" w:rsidRPr="00A55A89" w:rsidRDefault="005778DF" w:rsidP="002217F7">
      <w:pPr>
        <w:rPr>
          <w:rFonts w:cs="Arial"/>
          <w:sz w:val="24"/>
        </w:rPr>
      </w:pPr>
      <w:r w:rsidRPr="00A55A89">
        <w:rPr>
          <w:rFonts w:cs="Arial"/>
          <w:sz w:val="24"/>
        </w:rPr>
        <w:t xml:space="preserve">Engagement was made with the Gatsby </w:t>
      </w:r>
      <w:r w:rsidR="004E770A" w:rsidRPr="00A55A89">
        <w:rPr>
          <w:rFonts w:cs="Arial"/>
          <w:sz w:val="24"/>
        </w:rPr>
        <w:t>Foundation, Ofsted</w:t>
      </w:r>
      <w:r w:rsidRPr="00A55A89">
        <w:rPr>
          <w:rFonts w:cs="Arial"/>
          <w:sz w:val="24"/>
        </w:rPr>
        <w:t xml:space="preserve"> and Quality in Careers to gain insight into areas of priority and how the Standard could support and complement other frameworks.</w:t>
      </w:r>
      <w:r w:rsidR="00981208" w:rsidRPr="00A55A89">
        <w:rPr>
          <w:rFonts w:cs="Arial"/>
          <w:sz w:val="24"/>
        </w:rPr>
        <w:t xml:space="preserve"> </w:t>
      </w:r>
    </w:p>
    <w:p w14:paraId="503B5A83" w14:textId="77777777" w:rsidR="005C0D40" w:rsidRPr="00A55A89" w:rsidRDefault="005C0D40" w:rsidP="002217F7">
      <w:pPr>
        <w:rPr>
          <w:rFonts w:cs="Arial"/>
          <w:sz w:val="24"/>
        </w:rPr>
      </w:pPr>
    </w:p>
    <w:p w14:paraId="2BE4C040" w14:textId="3CA01C11" w:rsidR="00523223" w:rsidRPr="00A55A89" w:rsidRDefault="005778DF" w:rsidP="002217F7">
      <w:pPr>
        <w:rPr>
          <w:rFonts w:cs="Arial"/>
          <w:sz w:val="24"/>
        </w:rPr>
      </w:pPr>
      <w:r w:rsidRPr="00A55A89">
        <w:rPr>
          <w:rFonts w:cs="Arial"/>
          <w:sz w:val="24"/>
        </w:rPr>
        <w:t xml:space="preserve">Sir John Holman </w:t>
      </w:r>
      <w:r w:rsidRPr="00A55A89">
        <w:rPr>
          <w:sz w:val="24"/>
        </w:rPr>
        <w:t xml:space="preserve">(author of 'Good Career Guidance' from the Gatsby Foundation, </w:t>
      </w:r>
      <w:r w:rsidR="0EE0A23F" w:rsidRPr="00A55A89">
        <w:rPr>
          <w:sz w:val="24"/>
        </w:rPr>
        <w:t xml:space="preserve">who </w:t>
      </w:r>
      <w:r w:rsidR="1C6F4517" w:rsidRPr="00A55A89">
        <w:rPr>
          <w:sz w:val="24"/>
        </w:rPr>
        <w:t>was</w:t>
      </w:r>
      <w:r w:rsidRPr="00A55A89">
        <w:rPr>
          <w:sz w:val="24"/>
        </w:rPr>
        <w:t xml:space="preserve"> appointed by former Education Minister Gavin Williamson to review the careers landscape)</w:t>
      </w:r>
      <w:r w:rsidRPr="00A55A89">
        <w:rPr>
          <w:rFonts w:ascii="Segoe UI" w:hAnsi="Segoe UI" w:cs="Segoe UI"/>
          <w:sz w:val="24"/>
          <w:shd w:val="clear" w:color="auto" w:fill="FFFFFF"/>
        </w:rPr>
        <w:t xml:space="preserve"> </w:t>
      </w:r>
      <w:r w:rsidRPr="00A55A89">
        <w:rPr>
          <w:rFonts w:cs="Arial"/>
          <w:sz w:val="24"/>
        </w:rPr>
        <w:t>met the Chair of the Review and the Head of Service</w:t>
      </w:r>
      <w:r w:rsidR="00523223" w:rsidRPr="00A55A89">
        <w:rPr>
          <w:rFonts w:cs="Arial"/>
          <w:sz w:val="24"/>
        </w:rPr>
        <w:t>,</w:t>
      </w:r>
      <w:r w:rsidRPr="00A55A89">
        <w:rPr>
          <w:rFonts w:cs="Arial"/>
          <w:sz w:val="24"/>
        </w:rPr>
        <w:t xml:space="preserve"> </w:t>
      </w:r>
      <w:r w:rsidR="004A3C16" w:rsidRPr="00A55A89">
        <w:rPr>
          <w:rFonts w:cs="Arial"/>
          <w:sz w:val="24"/>
        </w:rPr>
        <w:t xml:space="preserve">Roger </w:t>
      </w:r>
      <w:r w:rsidR="00D85713" w:rsidRPr="00A55A89">
        <w:rPr>
          <w:rFonts w:cs="Arial"/>
          <w:sz w:val="24"/>
        </w:rPr>
        <w:t xml:space="preserve">Chapman </w:t>
      </w:r>
      <w:r w:rsidRPr="00A55A89">
        <w:rPr>
          <w:rFonts w:cs="Arial"/>
          <w:sz w:val="24"/>
        </w:rPr>
        <w:t xml:space="preserve">at an early stage in the </w:t>
      </w:r>
      <w:r w:rsidR="004C444D" w:rsidRPr="00A55A89">
        <w:rPr>
          <w:rFonts w:cs="Arial"/>
          <w:sz w:val="24"/>
        </w:rPr>
        <w:t>R</w:t>
      </w:r>
      <w:r w:rsidRPr="00A55A89">
        <w:rPr>
          <w:rFonts w:cs="Arial"/>
          <w:sz w:val="24"/>
        </w:rPr>
        <w:t xml:space="preserve">eview process. </w:t>
      </w:r>
    </w:p>
    <w:p w14:paraId="00AD9415" w14:textId="77777777" w:rsidR="00523223" w:rsidRPr="00A55A89" w:rsidRDefault="00523223" w:rsidP="002217F7">
      <w:pPr>
        <w:rPr>
          <w:rFonts w:cs="Arial"/>
          <w:sz w:val="24"/>
        </w:rPr>
      </w:pPr>
    </w:p>
    <w:p w14:paraId="32FD564B" w14:textId="49A50CB1" w:rsidR="00BE7B5A" w:rsidRPr="00A55A89" w:rsidRDefault="005778DF" w:rsidP="002217F7">
      <w:pPr>
        <w:rPr>
          <w:rFonts w:cs="Arial"/>
          <w:sz w:val="24"/>
        </w:rPr>
      </w:pPr>
      <w:r w:rsidRPr="00A55A89">
        <w:rPr>
          <w:rFonts w:cs="Arial"/>
          <w:sz w:val="24"/>
        </w:rPr>
        <w:t xml:space="preserve">At this </w:t>
      </w:r>
      <w:r w:rsidR="00640E2E" w:rsidRPr="00A55A89">
        <w:rPr>
          <w:rFonts w:cs="Arial"/>
          <w:sz w:val="24"/>
        </w:rPr>
        <w:t>meeting,</w:t>
      </w:r>
      <w:r w:rsidRPr="00A55A89">
        <w:rPr>
          <w:rFonts w:cs="Arial"/>
          <w:sz w:val="24"/>
        </w:rPr>
        <w:t xml:space="preserve"> the aims of the review were shared with Sir John including building closer alignment with the Gatsby Benchmarks. Robert Cremona and Beth Jones of the Gatsby </w:t>
      </w:r>
      <w:r w:rsidR="005C0D40" w:rsidRPr="00A55A89">
        <w:rPr>
          <w:rFonts w:cs="Arial"/>
          <w:sz w:val="24"/>
        </w:rPr>
        <w:t>Foundation</w:t>
      </w:r>
      <w:r w:rsidRPr="00A55A89">
        <w:rPr>
          <w:rFonts w:cs="Arial"/>
          <w:sz w:val="24"/>
        </w:rPr>
        <w:t xml:space="preserve"> worked closely</w:t>
      </w:r>
      <w:r w:rsidR="005C0D40" w:rsidRPr="00A55A89">
        <w:rPr>
          <w:rFonts w:cs="Arial"/>
          <w:sz w:val="24"/>
        </w:rPr>
        <w:t xml:space="preserve"> with our Executive Group</w:t>
      </w:r>
      <w:r w:rsidRPr="00A55A89">
        <w:rPr>
          <w:rFonts w:cs="Arial"/>
          <w:sz w:val="24"/>
        </w:rPr>
        <w:t xml:space="preserve"> to </w:t>
      </w:r>
      <w:r w:rsidR="005C0D40" w:rsidRPr="00A55A89">
        <w:rPr>
          <w:rFonts w:cs="Arial"/>
          <w:sz w:val="24"/>
        </w:rPr>
        <w:t>critique</w:t>
      </w:r>
      <w:r w:rsidRPr="00A55A89">
        <w:rPr>
          <w:rFonts w:cs="Arial"/>
          <w:sz w:val="24"/>
        </w:rPr>
        <w:t xml:space="preserve"> the </w:t>
      </w:r>
      <w:r w:rsidR="005C0D40" w:rsidRPr="00A55A89">
        <w:rPr>
          <w:rFonts w:cs="Arial"/>
          <w:sz w:val="24"/>
        </w:rPr>
        <w:t xml:space="preserve">developing </w:t>
      </w:r>
      <w:r w:rsidRPr="00A55A89">
        <w:rPr>
          <w:rFonts w:cs="Arial"/>
          <w:sz w:val="24"/>
        </w:rPr>
        <w:t xml:space="preserve">Standard and </w:t>
      </w:r>
      <w:r w:rsidR="005C0D40" w:rsidRPr="00A55A89">
        <w:rPr>
          <w:rFonts w:cs="Arial"/>
          <w:sz w:val="24"/>
        </w:rPr>
        <w:t>advise on</w:t>
      </w:r>
      <w:r w:rsidRPr="00A55A89">
        <w:rPr>
          <w:rFonts w:cs="Arial"/>
          <w:sz w:val="24"/>
        </w:rPr>
        <w:t xml:space="preserve"> alignment with the Gatsby Benchmarks. Drafts of the Standard were shared and commented </w:t>
      </w:r>
      <w:r w:rsidR="005C0D40" w:rsidRPr="00A55A89">
        <w:rPr>
          <w:rFonts w:cs="Arial"/>
          <w:sz w:val="24"/>
        </w:rPr>
        <w:t>up</w:t>
      </w:r>
      <w:r w:rsidRPr="00A55A89">
        <w:rPr>
          <w:rFonts w:cs="Arial"/>
          <w:sz w:val="24"/>
        </w:rPr>
        <w:t>on,</w:t>
      </w:r>
      <w:r w:rsidR="00640E2E" w:rsidRPr="00A55A89">
        <w:rPr>
          <w:rFonts w:cs="Arial"/>
          <w:sz w:val="24"/>
        </w:rPr>
        <w:t xml:space="preserve"> and</w:t>
      </w:r>
      <w:r w:rsidRPr="00A55A89">
        <w:rPr>
          <w:rFonts w:cs="Arial"/>
          <w:sz w:val="24"/>
        </w:rPr>
        <w:t xml:space="preserve"> some feedback </w:t>
      </w:r>
      <w:r w:rsidR="00652283" w:rsidRPr="00A55A89">
        <w:rPr>
          <w:rFonts w:cs="Arial"/>
          <w:sz w:val="24"/>
        </w:rPr>
        <w:t xml:space="preserve">from </w:t>
      </w:r>
      <w:r w:rsidR="004C3438" w:rsidRPr="00A55A89">
        <w:rPr>
          <w:rFonts w:cs="Arial"/>
          <w:sz w:val="24"/>
        </w:rPr>
        <w:t xml:space="preserve">the Gatsby </w:t>
      </w:r>
      <w:r w:rsidR="00C32D26" w:rsidRPr="00A55A89">
        <w:rPr>
          <w:rFonts w:cs="Arial"/>
          <w:sz w:val="24"/>
        </w:rPr>
        <w:t>F</w:t>
      </w:r>
      <w:r w:rsidR="004C3438" w:rsidRPr="00A55A89">
        <w:rPr>
          <w:rFonts w:cs="Arial"/>
          <w:sz w:val="24"/>
        </w:rPr>
        <w:t xml:space="preserve">oundation </w:t>
      </w:r>
      <w:r w:rsidRPr="00A55A89">
        <w:rPr>
          <w:rFonts w:cs="Arial"/>
          <w:sz w:val="24"/>
        </w:rPr>
        <w:t>on the Standard which w</w:t>
      </w:r>
      <w:r w:rsidR="00C32D26" w:rsidRPr="00A55A89">
        <w:rPr>
          <w:rFonts w:cs="Arial"/>
          <w:sz w:val="24"/>
        </w:rPr>
        <w:t>ere</w:t>
      </w:r>
      <w:r w:rsidRPr="00A55A89">
        <w:rPr>
          <w:rFonts w:cs="Arial"/>
          <w:sz w:val="24"/>
        </w:rPr>
        <w:t xml:space="preserve"> specific to F</w:t>
      </w:r>
      <w:r w:rsidR="00D85713" w:rsidRPr="00A55A89">
        <w:rPr>
          <w:rFonts w:cs="Arial"/>
          <w:sz w:val="24"/>
        </w:rPr>
        <w:t xml:space="preserve">urther </w:t>
      </w:r>
      <w:r w:rsidR="00523223" w:rsidRPr="00A55A89">
        <w:rPr>
          <w:rFonts w:cs="Arial"/>
          <w:sz w:val="24"/>
        </w:rPr>
        <w:t>Education (</w:t>
      </w:r>
      <w:r w:rsidR="009416D6" w:rsidRPr="00A55A89">
        <w:rPr>
          <w:rFonts w:cs="Arial"/>
          <w:sz w:val="24"/>
        </w:rPr>
        <w:t>F</w:t>
      </w:r>
      <w:r w:rsidRPr="00A55A89">
        <w:rPr>
          <w:rFonts w:cs="Arial"/>
          <w:sz w:val="24"/>
        </w:rPr>
        <w:t>E</w:t>
      </w:r>
      <w:r w:rsidR="0046152C" w:rsidRPr="00A55A89">
        <w:rPr>
          <w:rFonts w:cs="Arial"/>
          <w:sz w:val="24"/>
        </w:rPr>
        <w:t>)</w:t>
      </w:r>
      <w:r w:rsidR="00A3442B" w:rsidRPr="00A55A89">
        <w:rPr>
          <w:rFonts w:cs="Arial"/>
          <w:sz w:val="24"/>
        </w:rPr>
        <w:t xml:space="preserve">, these were </w:t>
      </w:r>
      <w:r w:rsidRPr="00A55A89">
        <w:rPr>
          <w:rFonts w:cs="Arial"/>
          <w:sz w:val="24"/>
        </w:rPr>
        <w:t>incorporated in an FE Guide</w:t>
      </w:r>
      <w:r w:rsidR="00000FB7" w:rsidRPr="00A55A89">
        <w:rPr>
          <w:rFonts w:cs="Arial"/>
          <w:sz w:val="24"/>
        </w:rPr>
        <w:t xml:space="preserve"> for FE organisations using the Standard. </w:t>
      </w:r>
    </w:p>
    <w:p w14:paraId="0DB1A1FD" w14:textId="77777777" w:rsidR="005C0D40" w:rsidRPr="00A55A89" w:rsidRDefault="005C0D40" w:rsidP="002217F7">
      <w:pPr>
        <w:rPr>
          <w:rFonts w:cs="Arial"/>
          <w:sz w:val="24"/>
        </w:rPr>
      </w:pPr>
    </w:p>
    <w:p w14:paraId="7A0FEFF6" w14:textId="4873557A" w:rsidR="000832F9" w:rsidRPr="00A55A89" w:rsidRDefault="005C0D40" w:rsidP="002217F7">
      <w:pPr>
        <w:rPr>
          <w:rFonts w:cs="Arial"/>
          <w:sz w:val="24"/>
        </w:rPr>
      </w:pPr>
      <w:r w:rsidRPr="00A55A89">
        <w:rPr>
          <w:rFonts w:cs="Arial"/>
          <w:sz w:val="24"/>
        </w:rPr>
        <w:t>T</w:t>
      </w:r>
      <w:r w:rsidR="005778DF" w:rsidRPr="00A55A89">
        <w:rPr>
          <w:rFonts w:cs="Arial"/>
          <w:sz w:val="24"/>
        </w:rPr>
        <w:t xml:space="preserve">he Chair of the Review and the Head of Service met with Helen Flint </w:t>
      </w:r>
      <w:r w:rsidRPr="00A55A89">
        <w:rPr>
          <w:rFonts w:cs="Arial"/>
          <w:sz w:val="24"/>
        </w:rPr>
        <w:t>(</w:t>
      </w:r>
      <w:r w:rsidR="005778DF" w:rsidRPr="00A55A89">
        <w:rPr>
          <w:rFonts w:cs="Arial"/>
          <w:sz w:val="24"/>
        </w:rPr>
        <w:t>a Specialist Adviser for Further Education and Skills</w:t>
      </w:r>
      <w:r w:rsidRPr="00A55A89">
        <w:rPr>
          <w:rFonts w:cs="Arial"/>
          <w:sz w:val="24"/>
        </w:rPr>
        <w:t xml:space="preserve"> at Ofsted</w:t>
      </w:r>
      <w:r w:rsidR="000832F9" w:rsidRPr="00A55A89">
        <w:rPr>
          <w:rFonts w:cs="Arial"/>
          <w:sz w:val="24"/>
        </w:rPr>
        <w:t>,</w:t>
      </w:r>
      <w:r w:rsidRPr="00A55A89">
        <w:rPr>
          <w:rFonts w:cs="Arial"/>
          <w:sz w:val="24"/>
        </w:rPr>
        <w:t xml:space="preserve"> </w:t>
      </w:r>
      <w:r w:rsidR="005778DF" w:rsidRPr="00A55A89">
        <w:rPr>
          <w:rFonts w:cs="Arial"/>
          <w:sz w:val="24"/>
        </w:rPr>
        <w:t>who was supportive of creating a guide to show the alignment with the Ofsted criteria concerning information, advice and guidance</w:t>
      </w:r>
      <w:r w:rsidRPr="00A55A89">
        <w:rPr>
          <w:rFonts w:cs="Arial"/>
          <w:sz w:val="24"/>
        </w:rPr>
        <w:t>)</w:t>
      </w:r>
      <w:r w:rsidR="005778DF" w:rsidRPr="00A55A89">
        <w:rPr>
          <w:rFonts w:cs="Arial"/>
          <w:sz w:val="24"/>
        </w:rPr>
        <w:t>.</w:t>
      </w:r>
      <w:r w:rsidRPr="00A55A89">
        <w:rPr>
          <w:rFonts w:cs="Arial"/>
          <w:sz w:val="24"/>
        </w:rPr>
        <w:t xml:space="preserve"> </w:t>
      </w:r>
      <w:r w:rsidR="005778DF" w:rsidRPr="00A55A89">
        <w:rPr>
          <w:rFonts w:cs="Arial"/>
          <w:sz w:val="24"/>
        </w:rPr>
        <w:t xml:space="preserve">To support this work the Growth Company commissioned Karen Adriaanse </w:t>
      </w:r>
      <w:r w:rsidRPr="00A55A89">
        <w:rPr>
          <w:rFonts w:cs="Arial"/>
          <w:sz w:val="24"/>
        </w:rPr>
        <w:t>(</w:t>
      </w:r>
      <w:r w:rsidR="005778DF" w:rsidRPr="00A55A89">
        <w:rPr>
          <w:rFonts w:cs="Arial"/>
          <w:sz w:val="24"/>
        </w:rPr>
        <w:t>a consultant and former senior manager within Ofsted</w:t>
      </w:r>
      <w:r w:rsidRPr="00A55A89">
        <w:rPr>
          <w:rFonts w:cs="Arial"/>
          <w:sz w:val="24"/>
        </w:rPr>
        <w:t>)</w:t>
      </w:r>
      <w:r w:rsidR="005778DF" w:rsidRPr="00A55A89">
        <w:rPr>
          <w:rFonts w:cs="Arial"/>
          <w:sz w:val="24"/>
        </w:rPr>
        <w:t xml:space="preserve"> to develop the</w:t>
      </w:r>
      <w:r w:rsidR="0005064C" w:rsidRPr="00A55A89">
        <w:rPr>
          <w:rFonts w:cs="Arial"/>
          <w:sz w:val="24"/>
        </w:rPr>
        <w:t xml:space="preserve"> Ofsted Touchpo</w:t>
      </w:r>
      <w:r w:rsidR="0093443C" w:rsidRPr="00A55A89">
        <w:rPr>
          <w:rFonts w:cs="Arial"/>
          <w:sz w:val="24"/>
        </w:rPr>
        <w:t>ints</w:t>
      </w:r>
      <w:r w:rsidR="005778DF" w:rsidRPr="00A55A89">
        <w:rPr>
          <w:rFonts w:cs="Arial"/>
          <w:sz w:val="24"/>
        </w:rPr>
        <w:t xml:space="preserve"> </w:t>
      </w:r>
      <w:r w:rsidR="0093443C" w:rsidRPr="00A55A89">
        <w:rPr>
          <w:rFonts w:cs="Arial"/>
          <w:sz w:val="24"/>
        </w:rPr>
        <w:t>G</w:t>
      </w:r>
      <w:r w:rsidR="005778DF" w:rsidRPr="00A55A89">
        <w:rPr>
          <w:rFonts w:cs="Arial"/>
          <w:sz w:val="24"/>
        </w:rPr>
        <w:t>uide</w:t>
      </w:r>
      <w:r w:rsidRPr="00A55A89">
        <w:rPr>
          <w:rFonts w:cs="Arial"/>
          <w:sz w:val="24"/>
        </w:rPr>
        <w:t>, c</w:t>
      </w:r>
      <w:r w:rsidR="005778DF" w:rsidRPr="00A55A89">
        <w:rPr>
          <w:rFonts w:cs="Arial"/>
          <w:sz w:val="24"/>
        </w:rPr>
        <w:t xml:space="preserve">opies of which were shared with Helen Flint for comment and approval. This work led to the development of ‘touchpoints’ with these other frameworks/requirements, which is referred to later under </w:t>
      </w:r>
      <w:hyperlink w:anchor="_Guidance_Materials" w:history="1">
        <w:r w:rsidR="004C444D" w:rsidRPr="00A55A89">
          <w:rPr>
            <w:rStyle w:val="Hyperlink"/>
            <w:rFonts w:cs="Arial"/>
            <w:sz w:val="24"/>
          </w:rPr>
          <w:t>Guidance Materials</w:t>
        </w:r>
      </w:hyperlink>
      <w:r w:rsidR="000832F9" w:rsidRPr="00A55A89">
        <w:rPr>
          <w:rFonts w:cs="Arial"/>
          <w:sz w:val="24"/>
        </w:rPr>
        <w:t>.</w:t>
      </w:r>
    </w:p>
    <w:p w14:paraId="11EF58A2" w14:textId="77777777" w:rsidR="000C64B4" w:rsidRPr="00A55A89" w:rsidRDefault="000C64B4" w:rsidP="002217F7">
      <w:pPr>
        <w:rPr>
          <w:rFonts w:cs="Arial"/>
          <w:sz w:val="24"/>
        </w:rPr>
      </w:pPr>
    </w:p>
    <w:p w14:paraId="7B689BC2" w14:textId="2F9B9CA3" w:rsidR="000832F9" w:rsidRPr="00A55A89" w:rsidRDefault="00495378" w:rsidP="002217F7">
      <w:pPr>
        <w:rPr>
          <w:rFonts w:cs="Arial"/>
          <w:sz w:val="24"/>
        </w:rPr>
      </w:pPr>
      <w:r w:rsidRPr="00A55A89">
        <w:rPr>
          <w:rFonts w:cs="Arial"/>
          <w:sz w:val="24"/>
        </w:rPr>
        <w:t>T</w:t>
      </w:r>
      <w:r w:rsidR="005778DF" w:rsidRPr="00A55A89">
        <w:rPr>
          <w:rFonts w:cs="Arial"/>
          <w:sz w:val="24"/>
        </w:rPr>
        <w:t>he Quality in Careers Standard</w:t>
      </w:r>
      <w:r w:rsidR="000832F9" w:rsidRPr="00A55A89">
        <w:rPr>
          <w:rFonts w:cs="Arial"/>
          <w:sz w:val="24"/>
        </w:rPr>
        <w:t>,</w:t>
      </w:r>
      <w:r w:rsidR="005778DF" w:rsidRPr="00A55A89">
        <w:rPr>
          <w:rFonts w:cs="Arial"/>
          <w:sz w:val="24"/>
        </w:rPr>
        <w:t xml:space="preserve"> which is supported by the Department for Education</w:t>
      </w:r>
      <w:r w:rsidR="004C444D" w:rsidRPr="00A55A89">
        <w:rPr>
          <w:rFonts w:cs="Arial"/>
          <w:sz w:val="24"/>
        </w:rPr>
        <w:t>,</w:t>
      </w:r>
      <w:r w:rsidR="000C64B4" w:rsidRPr="00A55A89">
        <w:rPr>
          <w:rFonts w:cs="Arial"/>
          <w:sz w:val="24"/>
        </w:rPr>
        <w:t xml:space="preserve"> was also consulted</w:t>
      </w:r>
      <w:r w:rsidR="004C444D" w:rsidRPr="00A55A89">
        <w:rPr>
          <w:rFonts w:cs="Arial"/>
          <w:sz w:val="24"/>
        </w:rPr>
        <w:t>, and</w:t>
      </w:r>
      <w:r w:rsidR="004C5599" w:rsidRPr="00A55A89">
        <w:rPr>
          <w:rFonts w:cs="Arial"/>
          <w:sz w:val="24"/>
        </w:rPr>
        <w:t xml:space="preserve"> </w:t>
      </w:r>
      <w:r w:rsidR="005778DF" w:rsidRPr="00A55A89">
        <w:rPr>
          <w:rFonts w:cs="Arial"/>
          <w:sz w:val="24"/>
        </w:rPr>
        <w:t xml:space="preserve">Paul Chubb </w:t>
      </w:r>
      <w:r w:rsidR="000832F9" w:rsidRPr="00A55A89">
        <w:rPr>
          <w:rFonts w:cs="Arial"/>
          <w:sz w:val="24"/>
        </w:rPr>
        <w:t>(</w:t>
      </w:r>
      <w:r w:rsidR="005778DF" w:rsidRPr="00A55A89">
        <w:rPr>
          <w:rFonts w:cs="Arial"/>
          <w:sz w:val="24"/>
        </w:rPr>
        <w:t>Director of the Quality in Careers Standard</w:t>
      </w:r>
      <w:r w:rsidR="000832F9" w:rsidRPr="00A55A89">
        <w:rPr>
          <w:rFonts w:cs="Arial"/>
          <w:sz w:val="24"/>
        </w:rPr>
        <w:t>)</w:t>
      </w:r>
      <w:r w:rsidR="005778DF" w:rsidRPr="00A55A89">
        <w:rPr>
          <w:rFonts w:cs="Arial"/>
          <w:sz w:val="24"/>
        </w:rPr>
        <w:t xml:space="preserve"> </w:t>
      </w:r>
      <w:r w:rsidR="004C5599" w:rsidRPr="00A55A89">
        <w:rPr>
          <w:rFonts w:cs="Arial"/>
          <w:sz w:val="24"/>
        </w:rPr>
        <w:t>was part of</w:t>
      </w:r>
      <w:r w:rsidR="005778DF" w:rsidRPr="00A55A89">
        <w:rPr>
          <w:rFonts w:cs="Arial"/>
          <w:sz w:val="24"/>
        </w:rPr>
        <w:t xml:space="preserve"> the Advisory Group</w:t>
      </w:r>
      <w:r w:rsidR="004C5599" w:rsidRPr="00A55A89">
        <w:rPr>
          <w:rFonts w:cs="Arial"/>
          <w:sz w:val="24"/>
        </w:rPr>
        <w:t>.</w:t>
      </w:r>
      <w:r w:rsidR="005778DF" w:rsidRPr="00A55A89">
        <w:rPr>
          <w:rFonts w:cs="Arial"/>
          <w:sz w:val="24"/>
        </w:rPr>
        <w:t xml:space="preserve"> </w:t>
      </w:r>
      <w:r w:rsidR="00615623" w:rsidRPr="00A55A89">
        <w:rPr>
          <w:rFonts w:cs="Arial"/>
          <w:sz w:val="24"/>
        </w:rPr>
        <w:t>D</w:t>
      </w:r>
      <w:r w:rsidR="005778DF" w:rsidRPr="00A55A89">
        <w:rPr>
          <w:rFonts w:cs="Arial"/>
          <w:sz w:val="24"/>
        </w:rPr>
        <w:t>raft copie</w:t>
      </w:r>
      <w:r w:rsidR="004C444D" w:rsidRPr="00A55A89">
        <w:rPr>
          <w:rFonts w:cs="Arial"/>
          <w:sz w:val="24"/>
        </w:rPr>
        <w:t>s</w:t>
      </w:r>
      <w:r w:rsidR="005778DF" w:rsidRPr="00A55A89">
        <w:rPr>
          <w:rFonts w:cs="Arial"/>
          <w:sz w:val="24"/>
        </w:rPr>
        <w:t xml:space="preserve"> of the revised Standard and the guides were shared with the Quality in Careers Board</w:t>
      </w:r>
      <w:r w:rsidR="0002676A" w:rsidRPr="00A55A89">
        <w:rPr>
          <w:rFonts w:cs="Arial"/>
          <w:sz w:val="24"/>
        </w:rPr>
        <w:t xml:space="preserve">. </w:t>
      </w:r>
      <w:r w:rsidR="007A5AAE" w:rsidRPr="00A55A89">
        <w:rPr>
          <w:rFonts w:cs="Arial"/>
          <w:sz w:val="24"/>
        </w:rPr>
        <w:t>This process</w:t>
      </w:r>
      <w:r w:rsidR="005778DF" w:rsidRPr="00A55A89">
        <w:rPr>
          <w:rFonts w:cs="Arial"/>
          <w:sz w:val="24"/>
        </w:rPr>
        <w:t xml:space="preserve"> ensure</w:t>
      </w:r>
      <w:r w:rsidR="007A5AAE" w:rsidRPr="00A55A89">
        <w:rPr>
          <w:rFonts w:cs="Arial"/>
          <w:sz w:val="24"/>
        </w:rPr>
        <w:t>d</w:t>
      </w:r>
      <w:r w:rsidR="005778DF" w:rsidRPr="00A55A89">
        <w:rPr>
          <w:rFonts w:cs="Arial"/>
          <w:sz w:val="24"/>
        </w:rPr>
        <w:t xml:space="preserve"> that the Standard </w:t>
      </w:r>
      <w:r w:rsidR="007A5AAE" w:rsidRPr="00A55A89">
        <w:rPr>
          <w:rFonts w:cs="Arial"/>
          <w:sz w:val="24"/>
        </w:rPr>
        <w:t>remained</w:t>
      </w:r>
      <w:r w:rsidR="005778DF" w:rsidRPr="00A55A89">
        <w:rPr>
          <w:rFonts w:cs="Arial"/>
          <w:sz w:val="24"/>
        </w:rPr>
        <w:t xml:space="preserve"> compl</w:t>
      </w:r>
      <w:r w:rsidR="000832F9" w:rsidRPr="00A55A89">
        <w:rPr>
          <w:rFonts w:cs="Arial"/>
          <w:sz w:val="24"/>
        </w:rPr>
        <w:t>e</w:t>
      </w:r>
      <w:r w:rsidR="005778DF" w:rsidRPr="00A55A89">
        <w:rPr>
          <w:rFonts w:cs="Arial"/>
          <w:sz w:val="24"/>
        </w:rPr>
        <w:t xml:space="preserve">mentary to </w:t>
      </w:r>
      <w:r w:rsidR="008A50B4" w:rsidRPr="00A55A89">
        <w:rPr>
          <w:rFonts w:cs="Arial"/>
          <w:sz w:val="24"/>
        </w:rPr>
        <w:t>the Quality in Careers Standard</w:t>
      </w:r>
      <w:r w:rsidR="00B7009F" w:rsidRPr="00A55A89">
        <w:rPr>
          <w:rFonts w:cs="Arial"/>
          <w:sz w:val="24"/>
        </w:rPr>
        <w:t xml:space="preserve"> and their feedback was</w:t>
      </w:r>
      <w:r w:rsidR="008A50B4" w:rsidRPr="00A55A89">
        <w:rPr>
          <w:rFonts w:cs="Arial"/>
          <w:sz w:val="24"/>
        </w:rPr>
        <w:t xml:space="preserve"> </w:t>
      </w:r>
      <w:r w:rsidR="005778DF" w:rsidRPr="00A55A89">
        <w:rPr>
          <w:rFonts w:cs="Arial"/>
          <w:sz w:val="24"/>
        </w:rPr>
        <w:t xml:space="preserve">particularly useful in helping to shape the criteria due to their knowledge of the sector and </w:t>
      </w:r>
      <w:r w:rsidR="006B4C22" w:rsidRPr="00A55A89">
        <w:rPr>
          <w:rFonts w:cs="Arial"/>
          <w:sz w:val="24"/>
        </w:rPr>
        <w:t>s</w:t>
      </w:r>
      <w:r w:rsidR="005778DF" w:rsidRPr="00A55A89">
        <w:rPr>
          <w:rFonts w:cs="Arial"/>
          <w:sz w:val="24"/>
        </w:rPr>
        <w:t>tandards</w:t>
      </w:r>
      <w:r w:rsidR="000832F9" w:rsidRPr="00A55A89">
        <w:rPr>
          <w:rFonts w:cs="Arial"/>
          <w:sz w:val="24"/>
        </w:rPr>
        <w:t>.</w:t>
      </w:r>
    </w:p>
    <w:p w14:paraId="7E894C7C" w14:textId="77777777" w:rsidR="000832F9" w:rsidRPr="00A55A89" w:rsidRDefault="000832F9" w:rsidP="002217F7">
      <w:pPr>
        <w:rPr>
          <w:rFonts w:cs="Arial"/>
          <w:sz w:val="24"/>
        </w:rPr>
      </w:pPr>
    </w:p>
    <w:p w14:paraId="384819F5" w14:textId="14094971" w:rsidR="00EE0831" w:rsidRPr="00A55A89" w:rsidRDefault="000832F9" w:rsidP="002217F7">
      <w:pPr>
        <w:rPr>
          <w:rFonts w:cs="Arial"/>
          <w:sz w:val="24"/>
        </w:rPr>
      </w:pPr>
      <w:r w:rsidRPr="00A55A89">
        <w:rPr>
          <w:rFonts w:cs="Arial"/>
          <w:sz w:val="24"/>
        </w:rPr>
        <w:t>T</w:t>
      </w:r>
      <w:r w:rsidR="005778DF" w:rsidRPr="00A55A89">
        <w:rPr>
          <w:rFonts w:cs="Arial"/>
          <w:sz w:val="24"/>
        </w:rPr>
        <w:t xml:space="preserve">he Careers and Enterprise Company </w:t>
      </w:r>
      <w:r w:rsidRPr="00A55A89">
        <w:rPr>
          <w:rFonts w:cs="Arial"/>
          <w:sz w:val="24"/>
        </w:rPr>
        <w:t>contributed to the Review,</w:t>
      </w:r>
      <w:r w:rsidR="005778DF" w:rsidRPr="00A55A89">
        <w:rPr>
          <w:rFonts w:cs="Arial"/>
          <w:sz w:val="24"/>
        </w:rPr>
        <w:t xml:space="preserve"> represented by Andrew Webster </w:t>
      </w:r>
      <w:r w:rsidRPr="00A55A89">
        <w:rPr>
          <w:rFonts w:cs="Arial"/>
          <w:sz w:val="24"/>
        </w:rPr>
        <w:t>(</w:t>
      </w:r>
      <w:r w:rsidR="005778DF" w:rsidRPr="00A55A89">
        <w:rPr>
          <w:rFonts w:cs="Arial"/>
          <w:sz w:val="24"/>
        </w:rPr>
        <w:t>Business Partnerships Manager</w:t>
      </w:r>
      <w:r w:rsidRPr="00A55A89">
        <w:rPr>
          <w:rFonts w:cs="Arial"/>
          <w:sz w:val="24"/>
        </w:rPr>
        <w:t>)</w:t>
      </w:r>
      <w:r w:rsidR="005778DF" w:rsidRPr="00A55A89">
        <w:rPr>
          <w:rFonts w:cs="Arial"/>
          <w:sz w:val="24"/>
        </w:rPr>
        <w:t xml:space="preserve"> and Kelly Dillon </w:t>
      </w:r>
      <w:r w:rsidRPr="00A55A89">
        <w:rPr>
          <w:rFonts w:cs="Arial"/>
          <w:sz w:val="24"/>
        </w:rPr>
        <w:t>(</w:t>
      </w:r>
      <w:r w:rsidR="005778DF" w:rsidRPr="00A55A89">
        <w:rPr>
          <w:rFonts w:cs="Arial"/>
          <w:sz w:val="24"/>
        </w:rPr>
        <w:t>National Sector Development Further Education and Inclusion</w:t>
      </w:r>
      <w:r w:rsidRPr="00A55A89">
        <w:rPr>
          <w:rFonts w:cs="Arial"/>
          <w:sz w:val="24"/>
        </w:rPr>
        <w:t>).</w:t>
      </w:r>
      <w:r w:rsidR="005778DF" w:rsidRPr="00A55A89">
        <w:rPr>
          <w:rFonts w:cs="Arial"/>
          <w:sz w:val="24"/>
        </w:rPr>
        <w:t xml:space="preserve"> </w:t>
      </w:r>
      <w:r w:rsidRPr="00A55A89">
        <w:rPr>
          <w:rFonts w:cs="Arial"/>
          <w:sz w:val="24"/>
        </w:rPr>
        <w:t>A</w:t>
      </w:r>
      <w:r w:rsidR="009A73B6" w:rsidRPr="00A55A89">
        <w:rPr>
          <w:rFonts w:cs="Arial"/>
          <w:sz w:val="24"/>
        </w:rPr>
        <w:t>gain</w:t>
      </w:r>
      <w:r w:rsidR="00F45DD5" w:rsidRPr="00A55A89">
        <w:rPr>
          <w:rFonts w:cs="Arial"/>
          <w:sz w:val="24"/>
        </w:rPr>
        <w:t>,</w:t>
      </w:r>
      <w:r w:rsidR="00FC2CCC" w:rsidRPr="00A55A89">
        <w:rPr>
          <w:rFonts w:cs="Arial"/>
          <w:sz w:val="24"/>
        </w:rPr>
        <w:t xml:space="preserve"> draft copies of the Standard</w:t>
      </w:r>
      <w:r w:rsidR="005778DF" w:rsidRPr="00A55A89">
        <w:rPr>
          <w:rFonts w:cs="Arial"/>
          <w:sz w:val="24"/>
        </w:rPr>
        <w:t xml:space="preserve"> were shared and commented on with additional feedback on FE to support the development of a guide</w:t>
      </w:r>
      <w:r w:rsidR="00EE0831" w:rsidRPr="00A55A89">
        <w:rPr>
          <w:rFonts w:cs="Arial"/>
          <w:sz w:val="24"/>
        </w:rPr>
        <w:t>.</w:t>
      </w:r>
    </w:p>
    <w:p w14:paraId="4AF9BD65" w14:textId="18B20F03" w:rsidR="005778DF" w:rsidRPr="00A55A89" w:rsidRDefault="005778DF" w:rsidP="000B550F">
      <w:pPr>
        <w:rPr>
          <w:sz w:val="24"/>
        </w:rPr>
      </w:pPr>
    </w:p>
    <w:p w14:paraId="13A4FC9A" w14:textId="0CADE78B" w:rsidR="00542B4C" w:rsidRPr="00A55A89" w:rsidRDefault="006D189F" w:rsidP="000B550F">
      <w:pPr>
        <w:rPr>
          <w:sz w:val="24"/>
        </w:rPr>
      </w:pPr>
      <w:r w:rsidRPr="00A55A89">
        <w:rPr>
          <w:sz w:val="24"/>
        </w:rPr>
        <w:t>The contribution</w:t>
      </w:r>
      <w:r w:rsidR="00E02A55" w:rsidRPr="00A55A89">
        <w:rPr>
          <w:sz w:val="24"/>
        </w:rPr>
        <w:t xml:space="preserve">s </w:t>
      </w:r>
      <w:r w:rsidR="00034AE5" w:rsidRPr="00A55A89">
        <w:rPr>
          <w:sz w:val="24"/>
        </w:rPr>
        <w:t xml:space="preserve">of West Midlands </w:t>
      </w:r>
      <w:r w:rsidR="00474F28" w:rsidRPr="00A55A89">
        <w:rPr>
          <w:sz w:val="24"/>
        </w:rPr>
        <w:t>Combined Authority are acknowledged,</w:t>
      </w:r>
      <w:r w:rsidR="00E02A55" w:rsidRPr="00A55A89">
        <w:rPr>
          <w:sz w:val="24"/>
        </w:rPr>
        <w:t xml:space="preserve"> </w:t>
      </w:r>
      <w:r w:rsidRPr="00A55A89">
        <w:rPr>
          <w:sz w:val="24"/>
        </w:rPr>
        <w:t xml:space="preserve">in introducing </w:t>
      </w:r>
      <w:r w:rsidR="004F21CB" w:rsidRPr="00A55A89">
        <w:rPr>
          <w:sz w:val="24"/>
        </w:rPr>
        <w:t>eight</w:t>
      </w:r>
      <w:r w:rsidRPr="00A55A89">
        <w:rPr>
          <w:sz w:val="24"/>
        </w:rPr>
        <w:t xml:space="preserve"> Colleges to participate in a consultation and of AGCAS in conducting a </w:t>
      </w:r>
      <w:r w:rsidR="00E02A55" w:rsidRPr="00A55A89">
        <w:rPr>
          <w:sz w:val="24"/>
        </w:rPr>
        <w:t>SWOT analysis among its membership.</w:t>
      </w:r>
    </w:p>
    <w:p w14:paraId="05898D18" w14:textId="77777777" w:rsidR="00BE513D" w:rsidRPr="00A55A89" w:rsidRDefault="00BE513D" w:rsidP="000B550F">
      <w:pPr>
        <w:rPr>
          <w:sz w:val="24"/>
        </w:rPr>
      </w:pPr>
      <w:r w:rsidRPr="00A55A89">
        <w:rPr>
          <w:sz w:val="24"/>
        </w:rPr>
        <w:br w:type="page"/>
      </w:r>
    </w:p>
    <w:p w14:paraId="4326D2AC" w14:textId="275BBDB5" w:rsidR="00431B50" w:rsidRPr="00C36FBC" w:rsidRDefault="00431B50" w:rsidP="000B550F">
      <w:pPr>
        <w:pStyle w:val="Heading1"/>
      </w:pPr>
      <w:bookmarkStart w:id="26" w:name="_Toc116456715"/>
      <w:bookmarkStart w:id="27" w:name="_Toc129688502"/>
      <w:r w:rsidRPr="00C36FBC">
        <w:lastRenderedPageBreak/>
        <w:t>Literature Review</w:t>
      </w:r>
      <w:bookmarkEnd w:id="26"/>
      <w:bookmarkEnd w:id="27"/>
    </w:p>
    <w:p w14:paraId="4235BD0B" w14:textId="22A2265D" w:rsidR="00431B50" w:rsidRPr="00C36FBC" w:rsidRDefault="00431B50" w:rsidP="002217F7">
      <w:pPr>
        <w:rPr>
          <w:rFonts w:cs="Arial"/>
        </w:rPr>
      </w:pPr>
    </w:p>
    <w:p w14:paraId="41A68FAF" w14:textId="6F9B48C0" w:rsidR="00431B50" w:rsidRPr="00A55A89" w:rsidRDefault="00CA265B" w:rsidP="002217F7">
      <w:pPr>
        <w:rPr>
          <w:rFonts w:cs="Arial"/>
          <w:sz w:val="24"/>
        </w:rPr>
      </w:pPr>
      <w:r w:rsidRPr="00A55A89">
        <w:rPr>
          <w:rFonts w:cs="Arial"/>
          <w:sz w:val="24"/>
        </w:rPr>
        <w:t>The purpose of the literature review was to identify the key features of good quality Information, Advice and Guidance (IAG)</w:t>
      </w:r>
      <w:r w:rsidR="00774269" w:rsidRPr="00A55A89">
        <w:rPr>
          <w:rFonts w:cs="Arial"/>
          <w:sz w:val="24"/>
        </w:rPr>
        <w:t xml:space="preserve"> in order that they could be considered as part of any revisions to the </w:t>
      </w:r>
      <w:r w:rsidR="00C506D4" w:rsidRPr="00A55A89">
        <w:rPr>
          <w:rFonts w:cs="Arial"/>
          <w:sz w:val="24"/>
        </w:rPr>
        <w:t>S</w:t>
      </w:r>
      <w:r w:rsidR="00774269" w:rsidRPr="00A55A89">
        <w:rPr>
          <w:rFonts w:cs="Arial"/>
          <w:sz w:val="24"/>
        </w:rPr>
        <w:t>tandard.</w:t>
      </w:r>
      <w:r w:rsidR="00B35623" w:rsidRPr="00A55A89">
        <w:rPr>
          <w:rFonts w:cs="Arial"/>
          <w:sz w:val="24"/>
        </w:rPr>
        <w:t xml:space="preserve"> </w:t>
      </w:r>
      <w:r w:rsidR="004E18C0" w:rsidRPr="00A55A89">
        <w:rPr>
          <w:rFonts w:cs="Arial"/>
          <w:sz w:val="24"/>
        </w:rPr>
        <w:t xml:space="preserve">This extensive piece of </w:t>
      </w:r>
      <w:r w:rsidR="00220006" w:rsidRPr="00A55A89">
        <w:rPr>
          <w:rFonts w:cs="Arial"/>
          <w:sz w:val="24"/>
        </w:rPr>
        <w:t>work</w:t>
      </w:r>
      <w:r w:rsidR="00675F35" w:rsidRPr="00A55A89">
        <w:rPr>
          <w:rFonts w:cs="Arial"/>
          <w:sz w:val="24"/>
        </w:rPr>
        <w:t xml:space="preserve"> </w:t>
      </w:r>
      <w:r w:rsidR="00542B4C" w:rsidRPr="00A55A89">
        <w:rPr>
          <w:rFonts w:cs="Arial"/>
          <w:sz w:val="24"/>
        </w:rPr>
        <w:t xml:space="preserve">was conducted by The Institute of Employability Professionals between January and September 2021 and </w:t>
      </w:r>
      <w:r w:rsidR="00220006" w:rsidRPr="00A55A89">
        <w:rPr>
          <w:rFonts w:cs="Arial"/>
          <w:sz w:val="24"/>
        </w:rPr>
        <w:t>review</w:t>
      </w:r>
      <w:r w:rsidR="00686698" w:rsidRPr="00A55A89">
        <w:rPr>
          <w:rFonts w:cs="Arial"/>
          <w:sz w:val="24"/>
        </w:rPr>
        <w:t>ed</w:t>
      </w:r>
      <w:r w:rsidR="00220006" w:rsidRPr="00A55A89">
        <w:rPr>
          <w:rFonts w:cs="Arial"/>
          <w:sz w:val="24"/>
        </w:rPr>
        <w:t xml:space="preserve"> 3</w:t>
      </w:r>
      <w:r w:rsidR="00686698" w:rsidRPr="00A55A89">
        <w:rPr>
          <w:rFonts w:cs="Arial"/>
          <w:sz w:val="24"/>
        </w:rPr>
        <w:t>17 pieces of research</w:t>
      </w:r>
      <w:r w:rsidR="00542B4C" w:rsidRPr="00A55A89">
        <w:rPr>
          <w:rFonts w:cs="Arial"/>
          <w:sz w:val="24"/>
        </w:rPr>
        <w:t>,</w:t>
      </w:r>
      <w:r w:rsidR="00FA1CEA" w:rsidRPr="00A55A89">
        <w:rPr>
          <w:rFonts w:cs="Arial"/>
          <w:sz w:val="24"/>
        </w:rPr>
        <w:t xml:space="preserve"> dr</w:t>
      </w:r>
      <w:r w:rsidR="00542B4C" w:rsidRPr="00A55A89">
        <w:rPr>
          <w:rFonts w:cs="Arial"/>
          <w:sz w:val="24"/>
        </w:rPr>
        <w:t>awing</w:t>
      </w:r>
      <w:r w:rsidR="00FA1CEA" w:rsidRPr="00A55A89">
        <w:rPr>
          <w:rFonts w:cs="Arial"/>
          <w:sz w:val="24"/>
        </w:rPr>
        <w:t xml:space="preserve"> on a wide range of published reports to inform some broad </w:t>
      </w:r>
      <w:r w:rsidR="009219BF" w:rsidRPr="00A55A89">
        <w:rPr>
          <w:rFonts w:cs="Arial"/>
          <w:sz w:val="24"/>
        </w:rPr>
        <w:t>themes.</w:t>
      </w:r>
    </w:p>
    <w:p w14:paraId="5A04EC17" w14:textId="07E83661" w:rsidR="004F10DA" w:rsidRPr="00A55A89" w:rsidRDefault="004F10DA" w:rsidP="002217F7">
      <w:pPr>
        <w:rPr>
          <w:rFonts w:cs="Arial"/>
          <w:sz w:val="24"/>
        </w:rPr>
      </w:pPr>
    </w:p>
    <w:p w14:paraId="7787C214" w14:textId="2E1796E7" w:rsidR="00FA1CEA" w:rsidRPr="00A55A89" w:rsidRDefault="00FA1CEA" w:rsidP="002217F7">
      <w:pPr>
        <w:rPr>
          <w:rFonts w:cs="Arial"/>
          <w:sz w:val="24"/>
        </w:rPr>
      </w:pPr>
      <w:r w:rsidRPr="00A55A89">
        <w:rPr>
          <w:rFonts w:cs="Arial"/>
          <w:sz w:val="24"/>
        </w:rPr>
        <w:t>For the purpose of the literature review the following interpretations were used:</w:t>
      </w:r>
    </w:p>
    <w:p w14:paraId="5197E940" w14:textId="5AF09FDB" w:rsidR="00FA1CEA" w:rsidRPr="00A55A89" w:rsidRDefault="00FA1CEA" w:rsidP="00CA35D9">
      <w:pPr>
        <w:pStyle w:val="Bullet"/>
        <w:rPr>
          <w:sz w:val="24"/>
          <w:szCs w:val="24"/>
        </w:rPr>
      </w:pPr>
      <w:r w:rsidRPr="00A55A89">
        <w:rPr>
          <w:b/>
          <w:bCs/>
          <w:sz w:val="24"/>
          <w:szCs w:val="24"/>
        </w:rPr>
        <w:t>Information</w:t>
      </w:r>
      <w:r w:rsidRPr="00A55A89">
        <w:rPr>
          <w:sz w:val="24"/>
          <w:szCs w:val="24"/>
        </w:rPr>
        <w:t xml:space="preserve"> refers to the provision of factual information relating to the domain or topic at hand, but without exploring the relative merits of different options</w:t>
      </w:r>
      <w:r w:rsidR="00C506D4" w:rsidRPr="00A55A89">
        <w:rPr>
          <w:sz w:val="24"/>
          <w:szCs w:val="24"/>
        </w:rPr>
        <w:t>.</w:t>
      </w:r>
    </w:p>
    <w:p w14:paraId="3711C20E" w14:textId="1AAF83A6" w:rsidR="00FA1CEA" w:rsidRPr="00A55A89" w:rsidRDefault="00FA1CEA" w:rsidP="00CA35D9">
      <w:pPr>
        <w:pStyle w:val="Bullet"/>
        <w:rPr>
          <w:sz w:val="24"/>
          <w:szCs w:val="24"/>
        </w:rPr>
      </w:pPr>
      <w:r w:rsidRPr="00A55A89">
        <w:rPr>
          <w:b/>
          <w:bCs/>
          <w:sz w:val="24"/>
          <w:szCs w:val="24"/>
        </w:rPr>
        <w:t>Advice</w:t>
      </w:r>
      <w:r w:rsidRPr="00A55A89">
        <w:rPr>
          <w:sz w:val="24"/>
          <w:szCs w:val="24"/>
        </w:rPr>
        <w:t xml:space="preserve"> </w:t>
      </w:r>
      <w:r w:rsidR="005D7D6F" w:rsidRPr="00A55A89">
        <w:rPr>
          <w:sz w:val="24"/>
          <w:szCs w:val="24"/>
        </w:rPr>
        <w:t xml:space="preserve">refers to the provision of in-depth interaction with an individual. It includes the explanation of information and </w:t>
      </w:r>
      <w:r w:rsidR="00542B4C" w:rsidRPr="00A55A89">
        <w:rPr>
          <w:sz w:val="24"/>
          <w:szCs w:val="24"/>
        </w:rPr>
        <w:t xml:space="preserve">how </w:t>
      </w:r>
      <w:r w:rsidR="005D7D6F" w:rsidRPr="00A55A89">
        <w:rPr>
          <w:sz w:val="24"/>
          <w:szCs w:val="24"/>
        </w:rPr>
        <w:t>to access and use the information.</w:t>
      </w:r>
    </w:p>
    <w:p w14:paraId="58ED8933" w14:textId="2792B7C9" w:rsidR="005D7D6F" w:rsidRPr="00A55A89" w:rsidRDefault="005D7D6F" w:rsidP="00CA35D9">
      <w:pPr>
        <w:pStyle w:val="Bullet"/>
        <w:rPr>
          <w:sz w:val="24"/>
          <w:szCs w:val="24"/>
        </w:rPr>
      </w:pPr>
      <w:r w:rsidRPr="00A55A89">
        <w:rPr>
          <w:b/>
          <w:bCs/>
          <w:sz w:val="24"/>
          <w:szCs w:val="24"/>
        </w:rPr>
        <w:t>Guidance</w:t>
      </w:r>
      <w:r w:rsidRPr="00A55A89">
        <w:rPr>
          <w:sz w:val="24"/>
          <w:szCs w:val="24"/>
        </w:rPr>
        <w:t xml:space="preserve"> refers to the specific needs of the individual and may involve a session or series of session between an individual and a skilled and trained adviser.</w:t>
      </w:r>
    </w:p>
    <w:p w14:paraId="4366AAB6" w14:textId="7931E8FD" w:rsidR="005D7D6F" w:rsidRPr="00A55A89" w:rsidRDefault="005421BF" w:rsidP="002217F7">
      <w:pPr>
        <w:rPr>
          <w:rFonts w:cs="Arial"/>
          <w:sz w:val="24"/>
        </w:rPr>
      </w:pPr>
      <w:r w:rsidRPr="00A55A89">
        <w:rPr>
          <w:rFonts w:cs="Arial"/>
          <w:sz w:val="24"/>
        </w:rPr>
        <w:t>No evidence was found</w:t>
      </w:r>
      <w:r w:rsidR="005D7D6F" w:rsidRPr="00A55A89">
        <w:rPr>
          <w:rFonts w:cs="Arial"/>
          <w:sz w:val="24"/>
        </w:rPr>
        <w:t xml:space="preserve"> in the literature review to suggest that effective techniques </w:t>
      </w:r>
      <w:r w:rsidRPr="00A55A89">
        <w:rPr>
          <w:rFonts w:cs="Arial"/>
          <w:sz w:val="24"/>
        </w:rPr>
        <w:t xml:space="preserve">in </w:t>
      </w:r>
      <w:r w:rsidR="005D7D6F" w:rsidRPr="00A55A89">
        <w:rPr>
          <w:rFonts w:cs="Arial"/>
          <w:sz w:val="24"/>
        </w:rPr>
        <w:t xml:space="preserve">IAG support differ significantly between </w:t>
      </w:r>
      <w:r w:rsidR="001A2B16" w:rsidRPr="00A55A89">
        <w:rPr>
          <w:rFonts w:cs="Arial"/>
          <w:sz w:val="24"/>
        </w:rPr>
        <w:t>sectors</w:t>
      </w:r>
      <w:r w:rsidR="005D7D6F" w:rsidRPr="00A55A89">
        <w:rPr>
          <w:rFonts w:cs="Arial"/>
          <w:sz w:val="24"/>
        </w:rPr>
        <w:t>.</w:t>
      </w:r>
      <w:r w:rsidRPr="00A55A89">
        <w:rPr>
          <w:rFonts w:cs="Arial"/>
          <w:sz w:val="24"/>
        </w:rPr>
        <w:t xml:space="preserve"> </w:t>
      </w:r>
      <w:r w:rsidR="005D7D6F" w:rsidRPr="00A55A89">
        <w:rPr>
          <w:rFonts w:cs="Arial"/>
          <w:sz w:val="24"/>
        </w:rPr>
        <w:t>There is strong evidence in support of IAG service</w:t>
      </w:r>
      <w:r w:rsidR="00CD20BD" w:rsidRPr="00A55A89">
        <w:rPr>
          <w:rFonts w:cs="Arial"/>
          <w:sz w:val="24"/>
        </w:rPr>
        <w:t>s</w:t>
      </w:r>
      <w:r w:rsidR="005D7D6F" w:rsidRPr="00A55A89">
        <w:rPr>
          <w:rFonts w:cs="Arial"/>
          <w:sz w:val="24"/>
        </w:rPr>
        <w:t xml:space="preserve"> that increase</w:t>
      </w:r>
      <w:r w:rsidR="00CD20BD" w:rsidRPr="00A55A89">
        <w:rPr>
          <w:rFonts w:cs="Arial"/>
          <w:sz w:val="24"/>
        </w:rPr>
        <w:t xml:space="preserve"> the</w:t>
      </w:r>
      <w:r w:rsidR="005D7D6F" w:rsidRPr="00A55A89">
        <w:rPr>
          <w:rFonts w:cs="Arial"/>
          <w:sz w:val="24"/>
        </w:rPr>
        <w:t xml:space="preserve"> </w:t>
      </w:r>
      <w:r w:rsidRPr="00A55A89">
        <w:rPr>
          <w:rFonts w:cs="Arial"/>
          <w:sz w:val="24"/>
        </w:rPr>
        <w:t>recipients’</w:t>
      </w:r>
      <w:r w:rsidR="005D7D6F" w:rsidRPr="00A55A89">
        <w:rPr>
          <w:rFonts w:cs="Arial"/>
          <w:sz w:val="24"/>
        </w:rPr>
        <w:t xml:space="preserve"> capacity to self-manage</w:t>
      </w:r>
      <w:r w:rsidR="00AA6492" w:rsidRPr="00A55A89">
        <w:rPr>
          <w:rFonts w:cs="Arial"/>
          <w:sz w:val="24"/>
        </w:rPr>
        <w:t>, enhance their intrinsic motivation, and develop their capabilities for choices and action.</w:t>
      </w:r>
    </w:p>
    <w:p w14:paraId="67608C23" w14:textId="7DECF945" w:rsidR="00AA6492" w:rsidRPr="00A55A89" w:rsidRDefault="00AA6492" w:rsidP="002217F7">
      <w:pPr>
        <w:rPr>
          <w:rFonts w:cs="Arial"/>
          <w:sz w:val="24"/>
        </w:rPr>
      </w:pPr>
    </w:p>
    <w:p w14:paraId="0723D51D" w14:textId="545D258C" w:rsidR="00AA6492" w:rsidRPr="00A55A89" w:rsidRDefault="00AA6492" w:rsidP="002217F7">
      <w:pPr>
        <w:rPr>
          <w:rFonts w:cs="Arial"/>
          <w:sz w:val="24"/>
        </w:rPr>
      </w:pPr>
      <w:r w:rsidRPr="00A55A89">
        <w:rPr>
          <w:rFonts w:cs="Arial"/>
          <w:sz w:val="24"/>
        </w:rPr>
        <w:t xml:space="preserve">The influence of leadership and management on </w:t>
      </w:r>
      <w:r w:rsidR="005421BF" w:rsidRPr="00A55A89">
        <w:rPr>
          <w:rFonts w:cs="Arial"/>
          <w:sz w:val="24"/>
        </w:rPr>
        <w:t>recipient</w:t>
      </w:r>
      <w:r w:rsidRPr="00A55A89">
        <w:rPr>
          <w:rFonts w:cs="Arial"/>
          <w:sz w:val="24"/>
        </w:rPr>
        <w:t xml:space="preserve"> satisfaction and outcomes is included in several European and international quality assurance </w:t>
      </w:r>
      <w:r w:rsidR="00FE3090" w:rsidRPr="00A55A89">
        <w:rPr>
          <w:rFonts w:cs="Arial"/>
          <w:sz w:val="24"/>
        </w:rPr>
        <w:t>s</w:t>
      </w:r>
      <w:r w:rsidRPr="00A55A89">
        <w:rPr>
          <w:rFonts w:cs="Arial"/>
          <w:sz w:val="24"/>
        </w:rPr>
        <w:t>tandards</w:t>
      </w:r>
      <w:r w:rsidR="00442D84" w:rsidRPr="00A55A89">
        <w:rPr>
          <w:rFonts w:cs="Arial"/>
          <w:sz w:val="24"/>
        </w:rPr>
        <w:t xml:space="preserve">, such as </w:t>
      </w:r>
      <w:r w:rsidR="007E51E4" w:rsidRPr="00A55A89">
        <w:rPr>
          <w:rFonts w:cs="Arial"/>
          <w:sz w:val="24"/>
        </w:rPr>
        <w:t xml:space="preserve">ISO9001, Investors in People and the </w:t>
      </w:r>
      <w:r w:rsidR="005B3545" w:rsidRPr="00A55A89">
        <w:rPr>
          <w:rFonts w:cs="Arial"/>
          <w:sz w:val="24"/>
        </w:rPr>
        <w:t xml:space="preserve">European Foundation for Quality </w:t>
      </w:r>
      <w:r w:rsidR="006C5B3D" w:rsidRPr="00A55A89">
        <w:rPr>
          <w:rFonts w:cs="Arial"/>
          <w:sz w:val="24"/>
        </w:rPr>
        <w:t>Management Framework</w:t>
      </w:r>
      <w:r w:rsidRPr="00A55A89">
        <w:rPr>
          <w:rFonts w:cs="Arial"/>
          <w:sz w:val="24"/>
        </w:rPr>
        <w:t xml:space="preserve">. A key quality element in leadership is the value placed in </w:t>
      </w:r>
      <w:r w:rsidR="00791C0B" w:rsidRPr="00A55A89">
        <w:rPr>
          <w:rFonts w:cs="Arial"/>
          <w:sz w:val="24"/>
        </w:rPr>
        <w:t xml:space="preserve">the </w:t>
      </w:r>
      <w:r w:rsidRPr="00A55A89">
        <w:rPr>
          <w:rFonts w:cs="Arial"/>
          <w:sz w:val="24"/>
        </w:rPr>
        <w:t xml:space="preserve">use of </w:t>
      </w:r>
      <w:r w:rsidR="00791C0B" w:rsidRPr="00A55A89">
        <w:rPr>
          <w:rFonts w:cs="Arial"/>
          <w:sz w:val="24"/>
        </w:rPr>
        <w:t xml:space="preserve">a </w:t>
      </w:r>
      <w:r w:rsidRPr="00A55A89">
        <w:rPr>
          <w:rFonts w:cs="Arial"/>
          <w:sz w:val="24"/>
        </w:rPr>
        <w:t xml:space="preserve">quality </w:t>
      </w:r>
      <w:r w:rsidR="00FE3090" w:rsidRPr="00A55A89">
        <w:rPr>
          <w:rFonts w:cs="Arial"/>
          <w:sz w:val="24"/>
        </w:rPr>
        <w:t>s</w:t>
      </w:r>
      <w:r w:rsidRPr="00A55A89">
        <w:rPr>
          <w:rFonts w:cs="Arial"/>
          <w:sz w:val="24"/>
        </w:rPr>
        <w:t>tandard for front-line delivery by those who lead and develop IAG services.</w:t>
      </w:r>
    </w:p>
    <w:p w14:paraId="1C77FC84" w14:textId="421F1F69" w:rsidR="00AA6492" w:rsidRPr="00A55A89" w:rsidRDefault="00AA6492" w:rsidP="002217F7">
      <w:pPr>
        <w:rPr>
          <w:rFonts w:cs="Arial"/>
          <w:sz w:val="24"/>
        </w:rPr>
      </w:pPr>
    </w:p>
    <w:p w14:paraId="3F04C640" w14:textId="040F34F0" w:rsidR="00AA6492" w:rsidRPr="00A55A89" w:rsidRDefault="007F0112" w:rsidP="002217F7">
      <w:pPr>
        <w:rPr>
          <w:rFonts w:cs="Arial"/>
          <w:sz w:val="24"/>
        </w:rPr>
      </w:pPr>
      <w:r w:rsidRPr="00A55A89">
        <w:rPr>
          <w:rFonts w:cs="Arial"/>
          <w:sz w:val="24"/>
        </w:rPr>
        <w:t>It was recognised that although the Standard is an outcome-based standard, there is no single measure of successful outcomes that applies to the diversity of s</w:t>
      </w:r>
      <w:r w:rsidR="00EA1378" w:rsidRPr="00A55A89">
        <w:rPr>
          <w:rFonts w:cs="Arial"/>
          <w:sz w:val="24"/>
        </w:rPr>
        <w:t>ectors</w:t>
      </w:r>
      <w:r w:rsidRPr="00A55A89">
        <w:rPr>
          <w:rFonts w:cs="Arial"/>
          <w:sz w:val="24"/>
        </w:rPr>
        <w:t xml:space="preserve"> where the Standard is used</w:t>
      </w:r>
      <w:r w:rsidR="00791C0B" w:rsidRPr="00A55A89">
        <w:rPr>
          <w:rFonts w:cs="Arial"/>
          <w:sz w:val="24"/>
        </w:rPr>
        <w:t xml:space="preserve">. </w:t>
      </w:r>
      <w:r w:rsidRPr="00A55A89">
        <w:rPr>
          <w:rFonts w:cs="Arial"/>
          <w:sz w:val="24"/>
        </w:rPr>
        <w:t xml:space="preserve">Providing examples of good practice in different </w:t>
      </w:r>
      <w:r w:rsidR="00EA1378" w:rsidRPr="00A55A89">
        <w:rPr>
          <w:rFonts w:cs="Arial"/>
          <w:sz w:val="24"/>
        </w:rPr>
        <w:t>sectors</w:t>
      </w:r>
      <w:r w:rsidRPr="00A55A89">
        <w:rPr>
          <w:rFonts w:cs="Arial"/>
          <w:sz w:val="24"/>
        </w:rPr>
        <w:t xml:space="preserve"> supports the development of relevant outcome measures for different domains.</w:t>
      </w:r>
    </w:p>
    <w:p w14:paraId="5D297847" w14:textId="1AF82093" w:rsidR="007F0112" w:rsidRPr="00A55A89" w:rsidRDefault="007F0112" w:rsidP="002217F7">
      <w:pPr>
        <w:rPr>
          <w:rFonts w:cs="Arial"/>
          <w:sz w:val="24"/>
        </w:rPr>
      </w:pPr>
    </w:p>
    <w:p w14:paraId="3C0666A4" w14:textId="44FB2A37" w:rsidR="007F0112" w:rsidRPr="00A55A89" w:rsidRDefault="007F0112" w:rsidP="002217F7">
      <w:pPr>
        <w:rPr>
          <w:rFonts w:cs="Arial"/>
          <w:sz w:val="24"/>
        </w:rPr>
      </w:pPr>
      <w:r w:rsidRPr="00A55A89">
        <w:rPr>
          <w:rFonts w:cs="Arial"/>
          <w:sz w:val="24"/>
        </w:rPr>
        <w:t xml:space="preserve">In supporting the achievement of outcomes from different </w:t>
      </w:r>
      <w:r w:rsidR="0072291E" w:rsidRPr="00A55A89">
        <w:rPr>
          <w:rFonts w:cs="Arial"/>
          <w:sz w:val="24"/>
        </w:rPr>
        <w:t>sectors</w:t>
      </w:r>
      <w:r w:rsidRPr="00A55A89">
        <w:rPr>
          <w:rFonts w:cs="Arial"/>
          <w:sz w:val="24"/>
        </w:rPr>
        <w:t xml:space="preserve"> where IAG is delivered, the </w:t>
      </w:r>
      <w:r w:rsidR="003A349B" w:rsidRPr="00A55A89">
        <w:rPr>
          <w:rFonts w:cs="Arial"/>
          <w:sz w:val="24"/>
        </w:rPr>
        <w:t>R</w:t>
      </w:r>
      <w:r w:rsidRPr="00A55A89">
        <w:rPr>
          <w:rFonts w:cs="Arial"/>
          <w:sz w:val="24"/>
        </w:rPr>
        <w:t xml:space="preserve">eview identified </w:t>
      </w:r>
      <w:r w:rsidR="00791C0B" w:rsidRPr="00A55A89">
        <w:rPr>
          <w:rFonts w:cs="Arial"/>
          <w:sz w:val="24"/>
        </w:rPr>
        <w:t xml:space="preserve">common </w:t>
      </w:r>
      <w:r w:rsidRPr="00A55A89">
        <w:rPr>
          <w:rFonts w:cs="Arial"/>
          <w:sz w:val="24"/>
        </w:rPr>
        <w:t>key features:</w:t>
      </w:r>
    </w:p>
    <w:p w14:paraId="0B37E74B" w14:textId="7AAE232C" w:rsidR="007F0112" w:rsidRPr="00A55A89" w:rsidRDefault="007F0112" w:rsidP="00CA35D9">
      <w:pPr>
        <w:pStyle w:val="Bullet"/>
        <w:rPr>
          <w:sz w:val="24"/>
          <w:szCs w:val="24"/>
        </w:rPr>
      </w:pPr>
      <w:r w:rsidRPr="00A55A89">
        <w:rPr>
          <w:sz w:val="24"/>
          <w:szCs w:val="24"/>
        </w:rPr>
        <w:t xml:space="preserve">Attention to </w:t>
      </w:r>
      <w:r w:rsidR="003E555C" w:rsidRPr="00A55A89">
        <w:rPr>
          <w:sz w:val="24"/>
          <w:szCs w:val="24"/>
        </w:rPr>
        <w:t>recipients</w:t>
      </w:r>
      <w:r w:rsidR="00B26EF9" w:rsidRPr="00A55A89">
        <w:rPr>
          <w:sz w:val="24"/>
          <w:szCs w:val="24"/>
        </w:rPr>
        <w:t>’</w:t>
      </w:r>
      <w:r w:rsidRPr="00A55A89">
        <w:rPr>
          <w:sz w:val="24"/>
          <w:szCs w:val="24"/>
        </w:rPr>
        <w:t xml:space="preserve"> individual circumstances</w:t>
      </w:r>
      <w:r w:rsidR="00AE4743" w:rsidRPr="00A55A89">
        <w:rPr>
          <w:sz w:val="24"/>
          <w:szCs w:val="24"/>
        </w:rPr>
        <w:t xml:space="preserve"> throughout the p</w:t>
      </w:r>
      <w:r w:rsidR="00B44155" w:rsidRPr="00A55A89">
        <w:rPr>
          <w:sz w:val="24"/>
          <w:szCs w:val="24"/>
        </w:rPr>
        <w:t>rocess</w:t>
      </w:r>
      <w:r w:rsidR="006F352A" w:rsidRPr="00A55A89">
        <w:rPr>
          <w:sz w:val="24"/>
          <w:szCs w:val="24"/>
        </w:rPr>
        <w:t xml:space="preserve"> to achieve better outcomes. </w:t>
      </w:r>
    </w:p>
    <w:p w14:paraId="7598C223" w14:textId="0985852E" w:rsidR="007F0112" w:rsidRPr="00A55A89" w:rsidRDefault="007F0112" w:rsidP="00CA35D9">
      <w:pPr>
        <w:pStyle w:val="Bullet"/>
        <w:rPr>
          <w:sz w:val="24"/>
          <w:szCs w:val="24"/>
        </w:rPr>
      </w:pPr>
      <w:r w:rsidRPr="00A55A89">
        <w:rPr>
          <w:sz w:val="24"/>
          <w:szCs w:val="24"/>
        </w:rPr>
        <w:t>Increasing the skills of IAG advisers</w:t>
      </w:r>
      <w:r w:rsidR="003F7F24" w:rsidRPr="00A55A89">
        <w:rPr>
          <w:sz w:val="24"/>
          <w:szCs w:val="24"/>
        </w:rPr>
        <w:t xml:space="preserve"> particularly</w:t>
      </w:r>
      <w:r w:rsidR="00725478" w:rsidRPr="00A55A89">
        <w:rPr>
          <w:sz w:val="24"/>
          <w:szCs w:val="24"/>
        </w:rPr>
        <w:t xml:space="preserve"> interpersonal</w:t>
      </w:r>
      <w:r w:rsidR="00D31FDC" w:rsidRPr="00A55A89">
        <w:rPr>
          <w:sz w:val="24"/>
          <w:szCs w:val="24"/>
        </w:rPr>
        <w:t xml:space="preserve"> skills</w:t>
      </w:r>
      <w:r w:rsidR="002C1B0C" w:rsidRPr="00A55A89">
        <w:rPr>
          <w:sz w:val="24"/>
          <w:szCs w:val="24"/>
        </w:rPr>
        <w:t xml:space="preserve"> </w:t>
      </w:r>
      <w:r w:rsidR="001643A0" w:rsidRPr="00A55A89">
        <w:rPr>
          <w:sz w:val="24"/>
          <w:szCs w:val="24"/>
        </w:rPr>
        <w:t>and</w:t>
      </w:r>
      <w:r w:rsidR="002C1B0C" w:rsidRPr="00A55A89">
        <w:rPr>
          <w:sz w:val="24"/>
          <w:szCs w:val="24"/>
        </w:rPr>
        <w:t xml:space="preserve"> the skills to</w:t>
      </w:r>
      <w:r w:rsidR="001643A0" w:rsidRPr="00A55A89">
        <w:rPr>
          <w:sz w:val="24"/>
          <w:szCs w:val="24"/>
        </w:rPr>
        <w:t xml:space="preserve"> measur</w:t>
      </w:r>
      <w:r w:rsidR="002C1B0C" w:rsidRPr="00A55A89">
        <w:rPr>
          <w:sz w:val="24"/>
          <w:szCs w:val="24"/>
        </w:rPr>
        <w:t>e</w:t>
      </w:r>
      <w:r w:rsidR="001643A0" w:rsidRPr="00A55A89">
        <w:rPr>
          <w:sz w:val="24"/>
          <w:szCs w:val="24"/>
        </w:rPr>
        <w:t xml:space="preserve"> the distance </w:t>
      </w:r>
      <w:r w:rsidR="00A11AB0" w:rsidRPr="00A55A89">
        <w:rPr>
          <w:sz w:val="24"/>
          <w:szCs w:val="24"/>
        </w:rPr>
        <w:t>recipients</w:t>
      </w:r>
      <w:r w:rsidR="006C4A1B" w:rsidRPr="00A55A89">
        <w:rPr>
          <w:sz w:val="24"/>
          <w:szCs w:val="24"/>
        </w:rPr>
        <w:t xml:space="preserve"> have travelled</w:t>
      </w:r>
      <w:r w:rsidR="00A95075" w:rsidRPr="00A55A89">
        <w:rPr>
          <w:sz w:val="24"/>
          <w:szCs w:val="24"/>
        </w:rPr>
        <w:t xml:space="preserve"> </w:t>
      </w:r>
      <w:r w:rsidR="00E74EB8" w:rsidRPr="00A55A89">
        <w:rPr>
          <w:sz w:val="24"/>
          <w:szCs w:val="24"/>
        </w:rPr>
        <w:t>during</w:t>
      </w:r>
      <w:r w:rsidR="00A95075" w:rsidRPr="00A55A89">
        <w:rPr>
          <w:sz w:val="24"/>
          <w:szCs w:val="24"/>
        </w:rPr>
        <w:t xml:space="preserve"> the IAG support</w:t>
      </w:r>
      <w:r w:rsidR="00E74EB8" w:rsidRPr="00A55A89">
        <w:rPr>
          <w:sz w:val="24"/>
          <w:szCs w:val="24"/>
        </w:rPr>
        <w:t xml:space="preserve"> and beyond</w:t>
      </w:r>
      <w:r w:rsidR="006C4A1B" w:rsidRPr="00A55A89">
        <w:rPr>
          <w:sz w:val="24"/>
          <w:szCs w:val="24"/>
        </w:rPr>
        <w:t>.</w:t>
      </w:r>
      <w:r w:rsidR="00725478" w:rsidRPr="00A55A89">
        <w:rPr>
          <w:sz w:val="24"/>
          <w:szCs w:val="24"/>
        </w:rPr>
        <w:t xml:space="preserve">  </w:t>
      </w:r>
    </w:p>
    <w:p w14:paraId="3B89D9AE" w14:textId="05885855" w:rsidR="007F0112" w:rsidRPr="00A55A89" w:rsidRDefault="007F0112" w:rsidP="00CA35D9">
      <w:pPr>
        <w:pStyle w:val="Bullet"/>
        <w:rPr>
          <w:sz w:val="24"/>
          <w:szCs w:val="24"/>
        </w:rPr>
      </w:pPr>
      <w:r w:rsidRPr="00A55A89">
        <w:rPr>
          <w:sz w:val="24"/>
          <w:szCs w:val="24"/>
        </w:rPr>
        <w:t xml:space="preserve">Seeking feedback and data equally from unsuccessful and successful </w:t>
      </w:r>
      <w:r w:rsidR="004D7785" w:rsidRPr="00A55A89">
        <w:rPr>
          <w:sz w:val="24"/>
          <w:szCs w:val="24"/>
        </w:rPr>
        <w:t>recipients</w:t>
      </w:r>
      <w:r w:rsidR="00611E67" w:rsidRPr="00A55A89">
        <w:rPr>
          <w:sz w:val="24"/>
          <w:szCs w:val="24"/>
        </w:rPr>
        <w:t>,</w:t>
      </w:r>
      <w:r w:rsidR="002D2F2D" w:rsidRPr="00A55A89">
        <w:rPr>
          <w:sz w:val="24"/>
          <w:szCs w:val="24"/>
        </w:rPr>
        <w:t xml:space="preserve"> to </w:t>
      </w:r>
      <w:r w:rsidR="002C03E7" w:rsidRPr="00A55A89">
        <w:rPr>
          <w:sz w:val="24"/>
          <w:szCs w:val="24"/>
        </w:rPr>
        <w:t xml:space="preserve">better understand </w:t>
      </w:r>
      <w:r w:rsidR="00492372" w:rsidRPr="00A55A89">
        <w:rPr>
          <w:sz w:val="24"/>
          <w:szCs w:val="24"/>
        </w:rPr>
        <w:t xml:space="preserve">the impact of the IAG and use the data to </w:t>
      </w:r>
      <w:r w:rsidR="00105545" w:rsidRPr="00A55A89">
        <w:rPr>
          <w:sz w:val="24"/>
          <w:szCs w:val="24"/>
        </w:rPr>
        <w:t>improve practices to</w:t>
      </w:r>
      <w:r w:rsidR="003A720D" w:rsidRPr="00A55A89">
        <w:rPr>
          <w:sz w:val="24"/>
          <w:szCs w:val="24"/>
        </w:rPr>
        <w:t xml:space="preserve"> </w:t>
      </w:r>
      <w:r w:rsidR="00B55CF7" w:rsidRPr="00A55A89">
        <w:rPr>
          <w:sz w:val="24"/>
          <w:szCs w:val="24"/>
        </w:rPr>
        <w:t xml:space="preserve">enable </w:t>
      </w:r>
      <w:r w:rsidR="005C6AD7" w:rsidRPr="00A55A89">
        <w:rPr>
          <w:sz w:val="24"/>
          <w:szCs w:val="24"/>
        </w:rPr>
        <w:t xml:space="preserve">future </w:t>
      </w:r>
      <w:r w:rsidR="00B55CF7" w:rsidRPr="00A55A89">
        <w:rPr>
          <w:sz w:val="24"/>
          <w:szCs w:val="24"/>
        </w:rPr>
        <w:t>parity of outcomes across different recip</w:t>
      </w:r>
      <w:r w:rsidR="005972AD" w:rsidRPr="00A55A89">
        <w:rPr>
          <w:sz w:val="24"/>
          <w:szCs w:val="24"/>
        </w:rPr>
        <w:t>ient groups</w:t>
      </w:r>
      <w:r w:rsidR="00C24E35" w:rsidRPr="00A55A89">
        <w:rPr>
          <w:sz w:val="24"/>
          <w:szCs w:val="24"/>
        </w:rPr>
        <w:t>.</w:t>
      </w:r>
      <w:r w:rsidR="00105545" w:rsidRPr="00A55A89">
        <w:rPr>
          <w:sz w:val="24"/>
          <w:szCs w:val="24"/>
        </w:rPr>
        <w:t xml:space="preserve"> </w:t>
      </w:r>
    </w:p>
    <w:p w14:paraId="323F3074" w14:textId="4E7F47DF" w:rsidR="00A011EF" w:rsidRPr="00A55A89" w:rsidRDefault="00A011EF" w:rsidP="002217F7">
      <w:pPr>
        <w:rPr>
          <w:rFonts w:cs="Arial"/>
          <w:sz w:val="24"/>
        </w:rPr>
      </w:pPr>
      <w:r w:rsidRPr="00A55A89">
        <w:rPr>
          <w:rFonts w:cs="Arial"/>
          <w:sz w:val="24"/>
        </w:rPr>
        <w:t xml:space="preserve">The increased use of </w:t>
      </w:r>
      <w:r w:rsidR="00F55021" w:rsidRPr="00A55A89">
        <w:rPr>
          <w:rFonts w:cs="Arial"/>
          <w:sz w:val="24"/>
        </w:rPr>
        <w:t>digital</w:t>
      </w:r>
      <w:r w:rsidRPr="00A55A89">
        <w:rPr>
          <w:rFonts w:cs="Arial"/>
          <w:sz w:val="24"/>
        </w:rPr>
        <w:t xml:space="preserve"> </w:t>
      </w:r>
      <w:r w:rsidR="00F348B2" w:rsidRPr="00A55A89">
        <w:rPr>
          <w:rFonts w:cs="Arial"/>
          <w:sz w:val="24"/>
        </w:rPr>
        <w:t>technology</w:t>
      </w:r>
      <w:r w:rsidRPr="00A55A89">
        <w:rPr>
          <w:rFonts w:cs="Arial"/>
          <w:sz w:val="24"/>
        </w:rPr>
        <w:t xml:space="preserve"> </w:t>
      </w:r>
      <w:r w:rsidR="00F348B2" w:rsidRPr="00A55A89">
        <w:rPr>
          <w:rFonts w:cs="Arial"/>
          <w:sz w:val="24"/>
        </w:rPr>
        <w:t>in</w:t>
      </w:r>
      <w:r w:rsidRPr="00A55A89">
        <w:rPr>
          <w:rFonts w:cs="Arial"/>
          <w:sz w:val="24"/>
        </w:rPr>
        <w:t xml:space="preserve"> IAG</w:t>
      </w:r>
      <w:r w:rsidR="00F348B2" w:rsidRPr="00A55A89">
        <w:rPr>
          <w:rFonts w:cs="Arial"/>
          <w:sz w:val="24"/>
        </w:rPr>
        <w:t xml:space="preserve"> delivery</w:t>
      </w:r>
      <w:r w:rsidRPr="00A55A89">
        <w:rPr>
          <w:rFonts w:cs="Arial"/>
          <w:sz w:val="24"/>
        </w:rPr>
        <w:t xml:space="preserve"> was considered</w:t>
      </w:r>
      <w:r w:rsidR="00983733" w:rsidRPr="00A55A89">
        <w:rPr>
          <w:rFonts w:cs="Arial"/>
          <w:sz w:val="24"/>
        </w:rPr>
        <w:t>; t</w:t>
      </w:r>
      <w:r w:rsidR="005F5C79" w:rsidRPr="00A55A89">
        <w:rPr>
          <w:rFonts w:cs="Arial"/>
          <w:sz w:val="24"/>
        </w:rPr>
        <w:t>he conclusion being</w:t>
      </w:r>
      <w:r w:rsidR="00CC6983" w:rsidRPr="00A55A89">
        <w:rPr>
          <w:rFonts w:cs="Arial"/>
          <w:sz w:val="24"/>
        </w:rPr>
        <w:t xml:space="preserve"> that </w:t>
      </w:r>
      <w:r w:rsidR="00F348B2" w:rsidRPr="00A55A89">
        <w:rPr>
          <w:rFonts w:cs="Arial"/>
          <w:sz w:val="24"/>
        </w:rPr>
        <w:t>it</w:t>
      </w:r>
      <w:r w:rsidR="007B6EE3" w:rsidRPr="00A55A89">
        <w:rPr>
          <w:rFonts w:cs="Arial"/>
          <w:sz w:val="24"/>
        </w:rPr>
        <w:t xml:space="preserve"> needs to be appropriately designed with the </w:t>
      </w:r>
      <w:r w:rsidR="00C63FAB" w:rsidRPr="00A55A89">
        <w:rPr>
          <w:rFonts w:cs="Arial"/>
          <w:sz w:val="24"/>
        </w:rPr>
        <w:t>end user</w:t>
      </w:r>
      <w:r w:rsidR="00983733" w:rsidRPr="00A55A89">
        <w:rPr>
          <w:rFonts w:cs="Arial"/>
          <w:sz w:val="24"/>
        </w:rPr>
        <w:t xml:space="preserve"> in mind</w:t>
      </w:r>
      <w:r w:rsidR="00B821E0" w:rsidRPr="00A55A89">
        <w:rPr>
          <w:rFonts w:cs="Arial"/>
          <w:sz w:val="24"/>
        </w:rPr>
        <w:t xml:space="preserve"> </w:t>
      </w:r>
      <w:r w:rsidR="00D86BD8" w:rsidRPr="00A55A89">
        <w:rPr>
          <w:rFonts w:cs="Arial"/>
          <w:sz w:val="24"/>
        </w:rPr>
        <w:t xml:space="preserve">to ensure </w:t>
      </w:r>
      <w:r w:rsidR="00C20A4D" w:rsidRPr="00A55A89">
        <w:rPr>
          <w:rFonts w:cs="Arial"/>
          <w:sz w:val="24"/>
        </w:rPr>
        <w:t>it is</w:t>
      </w:r>
      <w:r w:rsidRPr="00A55A89">
        <w:rPr>
          <w:rFonts w:cs="Arial"/>
          <w:sz w:val="24"/>
        </w:rPr>
        <w:t xml:space="preserve"> </w:t>
      </w:r>
      <w:r w:rsidR="009669EB" w:rsidRPr="00A55A89">
        <w:rPr>
          <w:rFonts w:cs="Arial"/>
          <w:sz w:val="24"/>
        </w:rPr>
        <w:t>accessible</w:t>
      </w:r>
      <w:r w:rsidR="00E76734" w:rsidRPr="00A55A89">
        <w:rPr>
          <w:rFonts w:cs="Arial"/>
          <w:sz w:val="24"/>
        </w:rPr>
        <w:t>, cost effective</w:t>
      </w:r>
      <w:r w:rsidRPr="00A55A89">
        <w:rPr>
          <w:rFonts w:cs="Arial"/>
          <w:sz w:val="24"/>
        </w:rPr>
        <w:t xml:space="preserve"> and </w:t>
      </w:r>
      <w:r w:rsidR="00C20A4D" w:rsidRPr="00A55A89">
        <w:rPr>
          <w:rFonts w:cs="Arial"/>
          <w:sz w:val="24"/>
        </w:rPr>
        <w:t>adds value</w:t>
      </w:r>
      <w:r w:rsidRPr="00A55A89">
        <w:rPr>
          <w:rFonts w:cs="Arial"/>
          <w:sz w:val="24"/>
        </w:rPr>
        <w:t xml:space="preserve">. </w:t>
      </w:r>
      <w:r w:rsidR="00D76F67" w:rsidRPr="00A55A89">
        <w:rPr>
          <w:rFonts w:cs="Arial"/>
          <w:sz w:val="24"/>
        </w:rPr>
        <w:t xml:space="preserve">If there is a rush to use </w:t>
      </w:r>
      <w:r w:rsidR="003C1651" w:rsidRPr="00A55A89">
        <w:rPr>
          <w:rFonts w:cs="Arial"/>
          <w:sz w:val="24"/>
        </w:rPr>
        <w:t>technology</w:t>
      </w:r>
      <w:r w:rsidR="00B230DD" w:rsidRPr="00A55A89">
        <w:rPr>
          <w:rFonts w:cs="Arial"/>
          <w:sz w:val="24"/>
        </w:rPr>
        <w:t xml:space="preserve"> without appropriate research </w:t>
      </w:r>
      <w:r w:rsidR="00123C72" w:rsidRPr="00A55A89">
        <w:rPr>
          <w:rFonts w:cs="Arial"/>
          <w:sz w:val="24"/>
        </w:rPr>
        <w:t>and design this can lead to costly mistakes.</w:t>
      </w:r>
    </w:p>
    <w:p w14:paraId="32FDB5EF" w14:textId="4A396585" w:rsidR="00A011EF" w:rsidRPr="00A55A89" w:rsidRDefault="00A011EF" w:rsidP="002217F7">
      <w:pPr>
        <w:rPr>
          <w:rFonts w:cs="Arial"/>
          <w:sz w:val="24"/>
        </w:rPr>
      </w:pPr>
    </w:p>
    <w:p w14:paraId="43A4FD66" w14:textId="77777777" w:rsidR="00B846AB" w:rsidRDefault="00B846AB">
      <w:pPr>
        <w:jc w:val="left"/>
        <w:rPr>
          <w:rFonts w:cs="Arial"/>
          <w:sz w:val="24"/>
        </w:rPr>
      </w:pPr>
      <w:r>
        <w:rPr>
          <w:rFonts w:cs="Arial"/>
          <w:sz w:val="24"/>
        </w:rPr>
        <w:br w:type="page"/>
      </w:r>
    </w:p>
    <w:p w14:paraId="16F8750A" w14:textId="6495031B" w:rsidR="00A011EF" w:rsidRPr="00A55A89" w:rsidRDefault="00A011EF" w:rsidP="002217F7">
      <w:pPr>
        <w:rPr>
          <w:rFonts w:cs="Arial"/>
          <w:sz w:val="24"/>
        </w:rPr>
      </w:pPr>
      <w:r w:rsidRPr="00A55A89">
        <w:rPr>
          <w:rFonts w:cs="Arial"/>
          <w:sz w:val="24"/>
        </w:rPr>
        <w:lastRenderedPageBreak/>
        <w:t>The plan, do, review approach currently used within the Standard was supported through evidence as being at the heart of good service delivery, ensuring that the framework for delivery addresses policy goals, processes, practitioners (</w:t>
      </w:r>
      <w:r w:rsidR="009669EB" w:rsidRPr="00A55A89">
        <w:rPr>
          <w:rFonts w:cs="Arial"/>
          <w:sz w:val="24"/>
        </w:rPr>
        <w:t>those delivering IAG</w:t>
      </w:r>
      <w:r w:rsidRPr="00A55A89">
        <w:rPr>
          <w:rFonts w:cs="Arial"/>
          <w:sz w:val="24"/>
        </w:rPr>
        <w:t>), outcomes (both soft and hard)</w:t>
      </w:r>
      <w:r w:rsidR="00AE72C9" w:rsidRPr="00A55A89">
        <w:rPr>
          <w:rFonts w:cs="Arial"/>
          <w:sz w:val="24"/>
        </w:rPr>
        <w:t xml:space="preserve"> and the needs of </w:t>
      </w:r>
      <w:r w:rsidR="00791C0B" w:rsidRPr="00A55A89">
        <w:rPr>
          <w:rFonts w:cs="Arial"/>
          <w:sz w:val="24"/>
        </w:rPr>
        <w:t>recipients</w:t>
      </w:r>
      <w:r w:rsidR="00AE72C9" w:rsidRPr="00A55A89">
        <w:rPr>
          <w:rFonts w:cs="Arial"/>
          <w:sz w:val="24"/>
        </w:rPr>
        <w:t>.</w:t>
      </w:r>
    </w:p>
    <w:p w14:paraId="47351AF4" w14:textId="5B57EB9D" w:rsidR="00AE72C9" w:rsidRPr="00A55A89" w:rsidRDefault="00AE72C9" w:rsidP="002217F7">
      <w:pPr>
        <w:rPr>
          <w:rFonts w:cs="Arial"/>
          <w:sz w:val="24"/>
        </w:rPr>
      </w:pPr>
    </w:p>
    <w:p w14:paraId="0B5B7100" w14:textId="77777777" w:rsidR="004E726B" w:rsidRDefault="00AE72C9" w:rsidP="002217F7">
      <w:pPr>
        <w:rPr>
          <w:rFonts w:cs="Arial"/>
          <w:sz w:val="24"/>
        </w:rPr>
      </w:pPr>
      <w:r w:rsidRPr="00A55A89">
        <w:rPr>
          <w:rFonts w:cs="Arial"/>
          <w:sz w:val="24"/>
        </w:rPr>
        <w:t xml:space="preserve">The Gatsby Benchmarks are now widely adopted in England’s schools and colleges, feeding into institutional </w:t>
      </w:r>
      <w:r w:rsidR="001E282F" w:rsidRPr="00A55A89">
        <w:rPr>
          <w:rFonts w:cs="Arial"/>
          <w:sz w:val="24"/>
        </w:rPr>
        <w:t>self-improvement</w:t>
      </w:r>
      <w:r w:rsidRPr="00A55A89">
        <w:rPr>
          <w:rFonts w:cs="Arial"/>
          <w:sz w:val="24"/>
        </w:rPr>
        <w:t xml:space="preserve"> plans and the Ofsted</w:t>
      </w:r>
      <w:r w:rsidR="005E28F5" w:rsidRPr="00A55A89">
        <w:rPr>
          <w:rFonts w:cs="Arial"/>
          <w:sz w:val="24"/>
        </w:rPr>
        <w:t xml:space="preserve"> Education</w:t>
      </w:r>
      <w:r w:rsidRPr="00A55A89">
        <w:rPr>
          <w:rFonts w:cs="Arial"/>
          <w:sz w:val="24"/>
        </w:rPr>
        <w:t xml:space="preserve"> Inspection Framework.</w:t>
      </w:r>
      <w:r w:rsidR="00B35623" w:rsidRPr="00A55A89">
        <w:rPr>
          <w:rFonts w:cs="Arial"/>
          <w:sz w:val="24"/>
        </w:rPr>
        <w:t xml:space="preserve"> </w:t>
      </w:r>
    </w:p>
    <w:p w14:paraId="6CE07BE9" w14:textId="77777777" w:rsidR="004E726B" w:rsidRDefault="004E726B" w:rsidP="002217F7">
      <w:pPr>
        <w:rPr>
          <w:rFonts w:cs="Arial"/>
          <w:b/>
          <w:bCs/>
          <w:sz w:val="24"/>
        </w:rPr>
      </w:pPr>
    </w:p>
    <w:p w14:paraId="56F6D23B" w14:textId="2267381D" w:rsidR="00AE72C9" w:rsidRPr="00A55A89" w:rsidRDefault="00AE72C9" w:rsidP="002217F7">
      <w:pPr>
        <w:rPr>
          <w:rFonts w:cs="Arial"/>
          <w:b/>
          <w:bCs/>
          <w:sz w:val="24"/>
        </w:rPr>
      </w:pPr>
      <w:r w:rsidRPr="00A55A89">
        <w:rPr>
          <w:rFonts w:cs="Arial"/>
          <w:b/>
          <w:bCs/>
          <w:sz w:val="24"/>
        </w:rPr>
        <w:t xml:space="preserve">The literature review concludes that the Standard is complementary to these other standards and provides additional value in being applicable across many different IAG </w:t>
      </w:r>
      <w:r w:rsidR="00040AFA" w:rsidRPr="00A55A89">
        <w:rPr>
          <w:rFonts w:cs="Arial"/>
          <w:b/>
          <w:bCs/>
          <w:sz w:val="24"/>
        </w:rPr>
        <w:t>sector</w:t>
      </w:r>
      <w:r w:rsidRPr="00A55A89">
        <w:rPr>
          <w:rFonts w:cs="Arial"/>
          <w:b/>
          <w:bCs/>
          <w:sz w:val="24"/>
        </w:rPr>
        <w:t>s.</w:t>
      </w:r>
      <w:r w:rsidR="00B35623" w:rsidRPr="00A55A89">
        <w:rPr>
          <w:rFonts w:cs="Arial"/>
          <w:b/>
          <w:bCs/>
          <w:sz w:val="24"/>
        </w:rPr>
        <w:t xml:space="preserve"> </w:t>
      </w:r>
      <w:r w:rsidRPr="00A55A89">
        <w:rPr>
          <w:rFonts w:cs="Arial"/>
          <w:b/>
          <w:bCs/>
          <w:sz w:val="24"/>
        </w:rPr>
        <w:t xml:space="preserve">It </w:t>
      </w:r>
      <w:r w:rsidR="009669EB" w:rsidRPr="00A55A89">
        <w:rPr>
          <w:rFonts w:cs="Arial"/>
          <w:b/>
          <w:bCs/>
          <w:sz w:val="24"/>
        </w:rPr>
        <w:t xml:space="preserve">also </w:t>
      </w:r>
      <w:r w:rsidRPr="00A55A89">
        <w:rPr>
          <w:rFonts w:cs="Arial"/>
          <w:b/>
          <w:bCs/>
          <w:sz w:val="24"/>
        </w:rPr>
        <w:t>concludes that its detailed description of IAG quality can usefully be adopted to complement and read across to benchmark</w:t>
      </w:r>
      <w:r w:rsidR="001E282F" w:rsidRPr="00A55A89">
        <w:rPr>
          <w:rFonts w:cs="Arial"/>
          <w:b/>
          <w:bCs/>
          <w:sz w:val="24"/>
        </w:rPr>
        <w:t>s and inspection frameworks within the UK and further afield.</w:t>
      </w:r>
    </w:p>
    <w:p w14:paraId="7A8694B4" w14:textId="101C6AB4" w:rsidR="004E18C0" w:rsidRPr="00A55A89" w:rsidRDefault="004E18C0" w:rsidP="002217F7">
      <w:pPr>
        <w:rPr>
          <w:rFonts w:cs="Arial"/>
          <w:sz w:val="24"/>
        </w:rPr>
      </w:pPr>
    </w:p>
    <w:p w14:paraId="6A962318" w14:textId="769E902E" w:rsidR="00BE513D" w:rsidRPr="00A55A89" w:rsidRDefault="001B2689" w:rsidP="004E726B">
      <w:pPr>
        <w:jc w:val="left"/>
        <w:rPr>
          <w:rFonts w:asciiTheme="majorHAnsi" w:eastAsiaTheme="majorEastAsia" w:hAnsiTheme="majorHAnsi" w:cstheme="majorBidi"/>
          <w:bCs/>
          <w:color w:val="2F5496" w:themeColor="accent1" w:themeShade="BF"/>
          <w:sz w:val="24"/>
        </w:rPr>
      </w:pPr>
      <w:r w:rsidRPr="00B846AB">
        <w:rPr>
          <w:rFonts w:cs="Arial"/>
          <w:sz w:val="18"/>
          <w:szCs w:val="18"/>
        </w:rPr>
        <w:t>The Literature Review report can be found here</w:t>
      </w:r>
      <w:r w:rsidR="003A2EBD" w:rsidRPr="00B846AB">
        <w:rPr>
          <w:rFonts w:cs="Arial"/>
          <w:sz w:val="18"/>
          <w:szCs w:val="18"/>
        </w:rPr>
        <w:t>:</w:t>
      </w:r>
      <w:r w:rsidR="00C2666B" w:rsidRPr="00B846AB">
        <w:rPr>
          <w:rFonts w:cs="Arial"/>
          <w:sz w:val="18"/>
          <w:szCs w:val="18"/>
        </w:rPr>
        <w:t xml:space="preserve"> </w:t>
      </w:r>
      <w:hyperlink r:id="rId17" w:history="1">
        <w:r w:rsidR="003A2EBD" w:rsidRPr="00B846AB">
          <w:rPr>
            <w:rStyle w:val="Hyperlink"/>
            <w:sz w:val="18"/>
            <w:szCs w:val="18"/>
          </w:rPr>
          <w:t>https://matrixstandard.com/media/1272/matrix-lit-review-final.pdf</w:t>
        </w:r>
      </w:hyperlink>
      <w:r w:rsidR="00C2666B" w:rsidRPr="00A55A89">
        <w:rPr>
          <w:rStyle w:val="Hyperlink"/>
          <w:sz w:val="24"/>
        </w:rPr>
        <w:t>.</w:t>
      </w:r>
    </w:p>
    <w:p w14:paraId="3D0374BF" w14:textId="69D9D485" w:rsidR="004E726B" w:rsidRDefault="004E726B">
      <w:pPr>
        <w:jc w:val="left"/>
        <w:rPr>
          <w:rFonts w:asciiTheme="majorHAnsi" w:eastAsiaTheme="majorEastAsia" w:hAnsiTheme="majorHAnsi" w:cstheme="majorBidi"/>
          <w:bCs/>
          <w:color w:val="003087"/>
          <w:sz w:val="40"/>
          <w:szCs w:val="40"/>
        </w:rPr>
      </w:pPr>
      <w:bookmarkStart w:id="28" w:name="_Toc116456716"/>
    </w:p>
    <w:p w14:paraId="7108403B" w14:textId="77777777" w:rsidR="00B846AB" w:rsidRDefault="00B846AB">
      <w:pPr>
        <w:jc w:val="left"/>
        <w:rPr>
          <w:rFonts w:asciiTheme="majorHAnsi" w:eastAsiaTheme="majorEastAsia" w:hAnsiTheme="majorHAnsi" w:cstheme="majorBidi"/>
          <w:bCs/>
          <w:color w:val="003087"/>
          <w:sz w:val="40"/>
          <w:szCs w:val="40"/>
        </w:rPr>
      </w:pPr>
      <w:r>
        <w:br w:type="page"/>
      </w:r>
    </w:p>
    <w:p w14:paraId="3727A850" w14:textId="64BAE5A1" w:rsidR="00BE7B5A" w:rsidRPr="00350757" w:rsidRDefault="00503EC9" w:rsidP="000B550F">
      <w:pPr>
        <w:pStyle w:val="Heading1"/>
      </w:pPr>
      <w:bookmarkStart w:id="29" w:name="_Toc129688503"/>
      <w:r w:rsidRPr="00350757">
        <w:lastRenderedPageBreak/>
        <w:t xml:space="preserve">Customer and Practitioner </w:t>
      </w:r>
      <w:r w:rsidR="005E3982" w:rsidRPr="00350757">
        <w:t>Survey</w:t>
      </w:r>
      <w:r w:rsidRPr="00350757">
        <w:t>s</w:t>
      </w:r>
      <w:bookmarkEnd w:id="28"/>
      <w:bookmarkEnd w:id="29"/>
    </w:p>
    <w:p w14:paraId="56FF337E" w14:textId="1767599E" w:rsidR="00925F35" w:rsidRPr="00C36FBC" w:rsidRDefault="00925F35" w:rsidP="002217F7">
      <w:pPr>
        <w:rPr>
          <w:rFonts w:cs="Arial"/>
        </w:rPr>
      </w:pPr>
    </w:p>
    <w:p w14:paraId="724D3E5B" w14:textId="6359F3D2" w:rsidR="00E1703F" w:rsidRPr="004E726B" w:rsidRDefault="00E1703F" w:rsidP="00E1703F">
      <w:pPr>
        <w:rPr>
          <w:rFonts w:cs="Arial"/>
          <w:sz w:val="24"/>
        </w:rPr>
      </w:pPr>
      <w:bookmarkStart w:id="30" w:name="_Hlk119660602"/>
      <w:r w:rsidRPr="004E726B">
        <w:rPr>
          <w:rFonts w:cs="Arial"/>
          <w:sz w:val="24"/>
        </w:rPr>
        <w:t>Since the last review there have been many change</w:t>
      </w:r>
      <w:r w:rsidR="0006370A" w:rsidRPr="004E726B">
        <w:rPr>
          <w:rFonts w:cs="Arial"/>
          <w:sz w:val="24"/>
        </w:rPr>
        <w:t>s</w:t>
      </w:r>
      <w:r w:rsidRPr="004E726B">
        <w:rPr>
          <w:rFonts w:cs="Arial"/>
          <w:sz w:val="24"/>
        </w:rPr>
        <w:t xml:space="preserve"> to the careers landscape, the introduction of the Gatsby </w:t>
      </w:r>
      <w:r w:rsidR="00A97438" w:rsidRPr="004E726B">
        <w:rPr>
          <w:rFonts w:cs="Arial"/>
          <w:sz w:val="24"/>
        </w:rPr>
        <w:t>Benchmarks</w:t>
      </w:r>
      <w:r w:rsidRPr="004E726B">
        <w:rPr>
          <w:rFonts w:cs="Arial"/>
          <w:sz w:val="24"/>
        </w:rPr>
        <w:t>, changes in statutory guidance to schools and colleges,</w:t>
      </w:r>
      <w:r w:rsidR="002C1CAF" w:rsidRPr="004E726B">
        <w:rPr>
          <w:rFonts w:cs="Arial"/>
          <w:sz w:val="24"/>
        </w:rPr>
        <w:t xml:space="preserve"> further</w:t>
      </w:r>
      <w:r w:rsidRPr="004E726B">
        <w:rPr>
          <w:rFonts w:cs="Arial"/>
          <w:sz w:val="24"/>
        </w:rPr>
        <w:t xml:space="preserve"> recognition that good careers information advice and guidance is important to </w:t>
      </w:r>
      <w:r w:rsidR="00934B22" w:rsidRPr="004E726B">
        <w:rPr>
          <w:rFonts w:cs="Arial"/>
          <w:sz w:val="24"/>
        </w:rPr>
        <w:t xml:space="preserve">economic growth </w:t>
      </w:r>
      <w:r w:rsidRPr="004E726B">
        <w:rPr>
          <w:rFonts w:cs="Arial"/>
          <w:sz w:val="24"/>
        </w:rPr>
        <w:t xml:space="preserve">and </w:t>
      </w:r>
      <w:r w:rsidR="008267DB" w:rsidRPr="004E726B">
        <w:rPr>
          <w:rFonts w:cs="Arial"/>
          <w:sz w:val="24"/>
        </w:rPr>
        <w:t xml:space="preserve">helping adults and young people make informed </w:t>
      </w:r>
      <w:r w:rsidR="00086AF3" w:rsidRPr="004E726B">
        <w:rPr>
          <w:rFonts w:cs="Arial"/>
          <w:sz w:val="24"/>
        </w:rPr>
        <w:t>decisions</w:t>
      </w:r>
      <w:r w:rsidR="008267DB" w:rsidRPr="004E726B">
        <w:rPr>
          <w:rFonts w:cs="Arial"/>
          <w:sz w:val="24"/>
        </w:rPr>
        <w:t xml:space="preserve"> </w:t>
      </w:r>
      <w:r w:rsidR="00086AF3" w:rsidRPr="004E726B">
        <w:rPr>
          <w:rFonts w:cs="Arial"/>
          <w:sz w:val="24"/>
        </w:rPr>
        <w:t xml:space="preserve">about their careers. </w:t>
      </w:r>
      <w:r w:rsidRPr="004E726B">
        <w:rPr>
          <w:rFonts w:cs="Arial"/>
          <w:sz w:val="24"/>
        </w:rPr>
        <w:t xml:space="preserve">     </w:t>
      </w:r>
    </w:p>
    <w:p w14:paraId="7B4A9BE3" w14:textId="77777777" w:rsidR="00B40C46" w:rsidRPr="004E726B" w:rsidRDefault="00B40C46" w:rsidP="00E1703F">
      <w:pPr>
        <w:rPr>
          <w:rFonts w:cs="Arial"/>
          <w:sz w:val="24"/>
        </w:rPr>
      </w:pPr>
    </w:p>
    <w:p w14:paraId="71348019" w14:textId="4CFE7327" w:rsidR="000C5DE8" w:rsidRPr="004E726B" w:rsidRDefault="00B16086" w:rsidP="002217F7">
      <w:pPr>
        <w:rPr>
          <w:rFonts w:cs="Arial"/>
          <w:sz w:val="24"/>
        </w:rPr>
      </w:pPr>
      <w:r w:rsidRPr="004E726B">
        <w:rPr>
          <w:rFonts w:cs="Arial"/>
          <w:sz w:val="24"/>
        </w:rPr>
        <w:t xml:space="preserve">During the </w:t>
      </w:r>
      <w:r w:rsidR="00327ED8" w:rsidRPr="004E726B">
        <w:rPr>
          <w:rFonts w:cs="Arial"/>
          <w:sz w:val="24"/>
        </w:rPr>
        <w:t xml:space="preserve">current </w:t>
      </w:r>
      <w:r w:rsidRPr="004E726B">
        <w:rPr>
          <w:rFonts w:cs="Arial"/>
          <w:sz w:val="24"/>
        </w:rPr>
        <w:t xml:space="preserve">review of the </w:t>
      </w:r>
      <w:r w:rsidR="00A97438" w:rsidRPr="004E726B">
        <w:rPr>
          <w:rFonts w:cs="Arial"/>
          <w:sz w:val="24"/>
        </w:rPr>
        <w:t>Standard,</w:t>
      </w:r>
      <w:r w:rsidR="006C1A9E" w:rsidRPr="004E726B">
        <w:rPr>
          <w:rFonts w:cs="Arial"/>
          <w:sz w:val="24"/>
        </w:rPr>
        <w:t xml:space="preserve"> w</w:t>
      </w:r>
      <w:r w:rsidRPr="004E726B">
        <w:rPr>
          <w:rFonts w:cs="Arial"/>
          <w:sz w:val="24"/>
        </w:rPr>
        <w:t xml:space="preserve">e </w:t>
      </w:r>
      <w:r w:rsidR="008E4635" w:rsidRPr="004E726B">
        <w:rPr>
          <w:rFonts w:cs="Arial"/>
          <w:sz w:val="24"/>
        </w:rPr>
        <w:t xml:space="preserve">issued </w:t>
      </w:r>
      <w:r w:rsidR="00934E97" w:rsidRPr="004E726B">
        <w:rPr>
          <w:rFonts w:cs="Arial"/>
          <w:sz w:val="24"/>
        </w:rPr>
        <w:t xml:space="preserve">115 </w:t>
      </w:r>
      <w:r w:rsidR="003C78DC" w:rsidRPr="004E726B">
        <w:rPr>
          <w:rFonts w:cs="Arial"/>
          <w:sz w:val="24"/>
        </w:rPr>
        <w:t xml:space="preserve">invitations </w:t>
      </w:r>
      <w:r w:rsidR="00FA1087" w:rsidRPr="004E726B">
        <w:rPr>
          <w:rFonts w:cs="Arial"/>
          <w:sz w:val="24"/>
        </w:rPr>
        <w:t>to</w:t>
      </w:r>
      <w:r w:rsidR="00BC12DE" w:rsidRPr="004E726B">
        <w:rPr>
          <w:rFonts w:cs="Arial"/>
          <w:sz w:val="24"/>
        </w:rPr>
        <w:t xml:space="preserve"> 93</w:t>
      </w:r>
      <w:r w:rsidR="00FA1087" w:rsidRPr="004E726B">
        <w:rPr>
          <w:rFonts w:cs="Arial"/>
          <w:sz w:val="24"/>
        </w:rPr>
        <w:t xml:space="preserve"> organisations </w:t>
      </w:r>
      <w:r w:rsidR="00474BEB" w:rsidRPr="004E726B">
        <w:rPr>
          <w:rFonts w:cs="Arial"/>
          <w:sz w:val="24"/>
        </w:rPr>
        <w:t xml:space="preserve">currently accredited to the Standard </w:t>
      </w:r>
      <w:bookmarkEnd w:id="30"/>
      <w:r w:rsidR="00503EC9" w:rsidRPr="004E726B">
        <w:rPr>
          <w:rFonts w:cs="Arial"/>
          <w:sz w:val="24"/>
        </w:rPr>
        <w:t xml:space="preserve">and to </w:t>
      </w:r>
      <w:r w:rsidR="00D721A3" w:rsidRPr="004E726B">
        <w:rPr>
          <w:rFonts w:cs="Arial"/>
          <w:sz w:val="24"/>
        </w:rPr>
        <w:t xml:space="preserve">22 </w:t>
      </w:r>
      <w:r w:rsidR="00503EC9" w:rsidRPr="004E726B">
        <w:rPr>
          <w:rFonts w:cs="Arial"/>
          <w:b/>
          <w:bCs/>
          <w:sz w:val="24"/>
        </w:rPr>
        <w:t>matrix</w:t>
      </w:r>
      <w:r w:rsidR="00503EC9" w:rsidRPr="004E726B">
        <w:rPr>
          <w:rFonts w:cs="Arial"/>
          <w:sz w:val="24"/>
        </w:rPr>
        <w:t xml:space="preserve"> Practitioners</w:t>
      </w:r>
      <w:r w:rsidR="00775DBC" w:rsidRPr="004E726B">
        <w:rPr>
          <w:rFonts w:cs="Arial"/>
          <w:sz w:val="24"/>
        </w:rPr>
        <w:t xml:space="preserve"> to </w:t>
      </w:r>
      <w:r w:rsidR="001A6817" w:rsidRPr="004E726B">
        <w:rPr>
          <w:rFonts w:cs="Arial"/>
          <w:sz w:val="24"/>
        </w:rPr>
        <w:t xml:space="preserve">seek </w:t>
      </w:r>
      <w:r w:rsidR="00E0651A" w:rsidRPr="004E726B">
        <w:rPr>
          <w:rFonts w:cs="Arial"/>
          <w:sz w:val="24"/>
        </w:rPr>
        <w:t xml:space="preserve">their </w:t>
      </w:r>
      <w:r w:rsidR="001A6817" w:rsidRPr="004E726B">
        <w:rPr>
          <w:rFonts w:cs="Arial"/>
          <w:sz w:val="24"/>
        </w:rPr>
        <w:t>opinions</w:t>
      </w:r>
      <w:r w:rsidR="00775DBC" w:rsidRPr="004E726B">
        <w:rPr>
          <w:rFonts w:cs="Arial"/>
          <w:sz w:val="24"/>
        </w:rPr>
        <w:t xml:space="preserve"> of the </w:t>
      </w:r>
      <w:r w:rsidR="00BB7C1C" w:rsidRPr="004E726B">
        <w:rPr>
          <w:rFonts w:cs="Arial"/>
          <w:sz w:val="24"/>
        </w:rPr>
        <w:t>current</w:t>
      </w:r>
      <w:r w:rsidR="00775DBC" w:rsidRPr="004E726B">
        <w:rPr>
          <w:rFonts w:cs="Arial"/>
          <w:sz w:val="24"/>
        </w:rPr>
        <w:t xml:space="preserve"> Standard and what </w:t>
      </w:r>
      <w:r w:rsidR="00BB7C1C" w:rsidRPr="004E726B">
        <w:rPr>
          <w:rFonts w:cs="Arial"/>
          <w:sz w:val="24"/>
        </w:rPr>
        <w:t>and how the Standard needed to be changed</w:t>
      </w:r>
      <w:r w:rsidR="00080323" w:rsidRPr="004E726B">
        <w:rPr>
          <w:rFonts w:cs="Arial"/>
          <w:sz w:val="24"/>
        </w:rPr>
        <w:t xml:space="preserve"> since the last review in 201</w:t>
      </w:r>
      <w:r w:rsidR="00266276" w:rsidRPr="004E726B">
        <w:rPr>
          <w:rFonts w:cs="Arial"/>
          <w:sz w:val="24"/>
        </w:rPr>
        <w:t>0</w:t>
      </w:r>
      <w:r w:rsidR="00F868FB" w:rsidRPr="004E726B">
        <w:rPr>
          <w:rFonts w:cs="Arial"/>
          <w:sz w:val="24"/>
        </w:rPr>
        <w:t xml:space="preserve">. </w:t>
      </w:r>
      <w:r w:rsidR="00703DC1" w:rsidRPr="004E726B">
        <w:rPr>
          <w:rFonts w:cs="Arial"/>
          <w:sz w:val="24"/>
        </w:rPr>
        <w:t xml:space="preserve"> </w:t>
      </w:r>
    </w:p>
    <w:p w14:paraId="44CC8C24" w14:textId="5DC3A5BD" w:rsidR="00503EC9" w:rsidRPr="004E726B" w:rsidRDefault="00703DC1" w:rsidP="002217F7">
      <w:pPr>
        <w:rPr>
          <w:rFonts w:cs="Arial"/>
          <w:sz w:val="24"/>
        </w:rPr>
      </w:pPr>
      <w:r w:rsidRPr="004E726B">
        <w:rPr>
          <w:rFonts w:cs="Arial"/>
          <w:sz w:val="24"/>
        </w:rPr>
        <w:t xml:space="preserve">This </w:t>
      </w:r>
      <w:r w:rsidR="00853C79" w:rsidRPr="004E726B">
        <w:rPr>
          <w:rFonts w:cs="Arial"/>
          <w:sz w:val="24"/>
        </w:rPr>
        <w:t>was to</w:t>
      </w:r>
      <w:r w:rsidR="00D721A3" w:rsidRPr="004E726B">
        <w:rPr>
          <w:rFonts w:cs="Arial"/>
          <w:sz w:val="24"/>
        </w:rPr>
        <w:t xml:space="preserve"> ensure it </w:t>
      </w:r>
      <w:r w:rsidR="00853C79" w:rsidRPr="004E726B">
        <w:rPr>
          <w:rFonts w:cs="Arial"/>
          <w:sz w:val="24"/>
        </w:rPr>
        <w:t>remained reflect</w:t>
      </w:r>
      <w:r w:rsidRPr="004E726B">
        <w:rPr>
          <w:sz w:val="24"/>
        </w:rPr>
        <w:t xml:space="preserve"> current best practice in IAG</w:t>
      </w:r>
      <w:r w:rsidR="00BB7C1C" w:rsidRPr="004E726B">
        <w:rPr>
          <w:rFonts w:cs="Arial"/>
          <w:sz w:val="24"/>
        </w:rPr>
        <w:t xml:space="preserve"> bring it </w:t>
      </w:r>
      <w:r w:rsidR="00E52FAB" w:rsidRPr="004E726B">
        <w:rPr>
          <w:rFonts w:cs="Arial"/>
          <w:sz w:val="24"/>
        </w:rPr>
        <w:t>up to date and set it with in the with the current careers landscape.</w:t>
      </w:r>
      <w:r w:rsidR="00823248" w:rsidRPr="004E726B">
        <w:rPr>
          <w:rFonts w:cs="Arial"/>
          <w:sz w:val="24"/>
        </w:rPr>
        <w:t xml:space="preserve"> </w:t>
      </w:r>
      <w:r w:rsidR="00503EC9" w:rsidRPr="004E726B">
        <w:rPr>
          <w:rFonts w:cs="Arial"/>
          <w:sz w:val="24"/>
        </w:rPr>
        <w:t xml:space="preserve"> </w:t>
      </w:r>
    </w:p>
    <w:p w14:paraId="222E38B8" w14:textId="77777777" w:rsidR="00503EC9" w:rsidRPr="004E726B" w:rsidRDefault="00503EC9" w:rsidP="002217F7">
      <w:pPr>
        <w:rPr>
          <w:rFonts w:cs="Arial"/>
          <w:sz w:val="24"/>
        </w:rPr>
      </w:pPr>
    </w:p>
    <w:p w14:paraId="341F09FA" w14:textId="5F3B300C" w:rsidR="00B40C46" w:rsidRPr="004E726B" w:rsidRDefault="005E3982" w:rsidP="002217F7">
      <w:pPr>
        <w:rPr>
          <w:rFonts w:cs="Arial"/>
          <w:sz w:val="24"/>
        </w:rPr>
      </w:pPr>
      <w:r w:rsidRPr="004E726B">
        <w:rPr>
          <w:rFonts w:cs="Arial"/>
          <w:sz w:val="24"/>
        </w:rPr>
        <w:t>In summary</w:t>
      </w:r>
      <w:r w:rsidR="00503EC9" w:rsidRPr="004E726B">
        <w:rPr>
          <w:rFonts w:cs="Arial"/>
          <w:sz w:val="24"/>
        </w:rPr>
        <w:t xml:space="preserve"> </w:t>
      </w:r>
      <w:r w:rsidRPr="004E726B">
        <w:rPr>
          <w:rFonts w:cs="Arial"/>
          <w:sz w:val="24"/>
        </w:rPr>
        <w:t xml:space="preserve">there was broadly positive feedback in relation to the </w:t>
      </w:r>
      <w:r w:rsidR="00503EC9" w:rsidRPr="004E726B">
        <w:rPr>
          <w:rFonts w:cs="Arial"/>
          <w:sz w:val="24"/>
        </w:rPr>
        <w:t>current</w:t>
      </w:r>
      <w:r w:rsidRPr="004E726B">
        <w:rPr>
          <w:rFonts w:cs="Arial"/>
          <w:sz w:val="24"/>
        </w:rPr>
        <w:t xml:space="preserve"> </w:t>
      </w:r>
      <w:r w:rsidR="00C70D99" w:rsidRPr="004E726B">
        <w:rPr>
          <w:rFonts w:cs="Arial"/>
          <w:sz w:val="24"/>
        </w:rPr>
        <w:t>S</w:t>
      </w:r>
      <w:r w:rsidRPr="004E726B">
        <w:rPr>
          <w:rFonts w:cs="Arial"/>
          <w:sz w:val="24"/>
        </w:rPr>
        <w:t>tandard</w:t>
      </w:r>
      <w:r w:rsidR="00821B9F" w:rsidRPr="004E726B">
        <w:rPr>
          <w:rFonts w:cs="Arial"/>
          <w:sz w:val="24"/>
        </w:rPr>
        <w:t>,</w:t>
      </w:r>
      <w:r w:rsidR="00E831BA" w:rsidRPr="004E726B">
        <w:rPr>
          <w:rFonts w:cs="Arial"/>
          <w:sz w:val="24"/>
        </w:rPr>
        <w:t xml:space="preserve"> </w:t>
      </w:r>
      <w:r w:rsidR="005D56AE" w:rsidRPr="004E726B">
        <w:rPr>
          <w:rFonts w:cs="Arial"/>
          <w:sz w:val="24"/>
        </w:rPr>
        <w:t xml:space="preserve">78% agree it helps to assess and </w:t>
      </w:r>
      <w:r w:rsidR="003C6C5E" w:rsidRPr="004E726B">
        <w:rPr>
          <w:rFonts w:cs="Arial"/>
          <w:sz w:val="24"/>
        </w:rPr>
        <w:t xml:space="preserve">provide a </w:t>
      </w:r>
      <w:r w:rsidR="005D56AE" w:rsidRPr="004E726B">
        <w:rPr>
          <w:rFonts w:cs="Arial"/>
          <w:sz w:val="24"/>
        </w:rPr>
        <w:t xml:space="preserve">benchmark </w:t>
      </w:r>
      <w:r w:rsidR="003C6C5E" w:rsidRPr="004E726B">
        <w:rPr>
          <w:rFonts w:cs="Arial"/>
          <w:sz w:val="24"/>
        </w:rPr>
        <w:t xml:space="preserve">for </w:t>
      </w:r>
      <w:r w:rsidR="002C1CAF" w:rsidRPr="004E726B">
        <w:rPr>
          <w:rFonts w:cs="Arial"/>
          <w:sz w:val="24"/>
        </w:rPr>
        <w:t>quality and</w:t>
      </w:r>
      <w:r w:rsidR="00050F25" w:rsidRPr="004E726B">
        <w:rPr>
          <w:rFonts w:cs="Arial"/>
          <w:sz w:val="24"/>
        </w:rPr>
        <w:t xml:space="preserve"> </w:t>
      </w:r>
      <w:r w:rsidR="005A6B57" w:rsidRPr="004E726B">
        <w:rPr>
          <w:rFonts w:cs="Arial"/>
          <w:sz w:val="24"/>
        </w:rPr>
        <w:t xml:space="preserve">95% of organisations </w:t>
      </w:r>
      <w:r w:rsidR="003C6C5E" w:rsidRPr="004E726B">
        <w:rPr>
          <w:rFonts w:cs="Arial"/>
          <w:sz w:val="24"/>
        </w:rPr>
        <w:t>asked</w:t>
      </w:r>
      <w:r w:rsidR="00E831BA" w:rsidRPr="004E726B">
        <w:rPr>
          <w:rFonts w:cs="Arial"/>
          <w:sz w:val="24"/>
        </w:rPr>
        <w:t>,</w:t>
      </w:r>
      <w:r w:rsidR="003C6C5E" w:rsidRPr="004E726B">
        <w:rPr>
          <w:rFonts w:cs="Arial"/>
          <w:sz w:val="24"/>
        </w:rPr>
        <w:t xml:space="preserve"> </w:t>
      </w:r>
      <w:r w:rsidR="005A6B57" w:rsidRPr="004E726B">
        <w:rPr>
          <w:rFonts w:cs="Arial"/>
          <w:sz w:val="24"/>
        </w:rPr>
        <w:t xml:space="preserve">agreed </w:t>
      </w:r>
      <w:r w:rsidR="00EC3BD8" w:rsidRPr="004E726B">
        <w:rPr>
          <w:rFonts w:cs="Arial"/>
          <w:sz w:val="24"/>
        </w:rPr>
        <w:t>that the Standard should be structure</w:t>
      </w:r>
      <w:r w:rsidR="005D56AE" w:rsidRPr="004E726B">
        <w:rPr>
          <w:rFonts w:cs="Arial"/>
          <w:sz w:val="24"/>
        </w:rPr>
        <w:t>d</w:t>
      </w:r>
      <w:r w:rsidR="00EC3BD8" w:rsidRPr="004E726B">
        <w:rPr>
          <w:rFonts w:cs="Arial"/>
          <w:sz w:val="24"/>
        </w:rPr>
        <w:t xml:space="preserve"> around </w:t>
      </w:r>
      <w:r w:rsidR="00A97438" w:rsidRPr="004E726B">
        <w:rPr>
          <w:rFonts w:cs="Arial"/>
          <w:sz w:val="24"/>
        </w:rPr>
        <w:t>a</w:t>
      </w:r>
      <w:r w:rsidRPr="004E726B">
        <w:rPr>
          <w:rFonts w:cs="Arial"/>
          <w:sz w:val="24"/>
        </w:rPr>
        <w:t xml:space="preserve"> plan</w:t>
      </w:r>
      <w:r w:rsidR="003C78DC" w:rsidRPr="004E726B">
        <w:rPr>
          <w:rFonts w:cs="Arial"/>
          <w:sz w:val="24"/>
        </w:rPr>
        <w:t xml:space="preserve">, </w:t>
      </w:r>
      <w:r w:rsidRPr="004E726B">
        <w:rPr>
          <w:rFonts w:cs="Arial"/>
          <w:sz w:val="24"/>
        </w:rPr>
        <w:t>do</w:t>
      </w:r>
      <w:r w:rsidR="003C78DC" w:rsidRPr="004E726B">
        <w:rPr>
          <w:rFonts w:cs="Arial"/>
          <w:sz w:val="24"/>
        </w:rPr>
        <w:t xml:space="preserve">, </w:t>
      </w:r>
      <w:r w:rsidRPr="004E726B">
        <w:rPr>
          <w:rFonts w:cs="Arial"/>
          <w:sz w:val="24"/>
        </w:rPr>
        <w:t>review cycle and assessment approach</w:t>
      </w:r>
      <w:r w:rsidR="00FA1F3D" w:rsidRPr="004E726B">
        <w:rPr>
          <w:rFonts w:cs="Arial"/>
          <w:sz w:val="24"/>
        </w:rPr>
        <w:t>.</w:t>
      </w:r>
      <w:r w:rsidRPr="004E726B">
        <w:rPr>
          <w:rFonts w:cs="Arial"/>
          <w:sz w:val="24"/>
        </w:rPr>
        <w:t xml:space="preserve"> </w:t>
      </w:r>
    </w:p>
    <w:p w14:paraId="257BFA99" w14:textId="77777777" w:rsidR="00B40C46" w:rsidRPr="004E726B" w:rsidRDefault="00B40C46" w:rsidP="002217F7">
      <w:pPr>
        <w:rPr>
          <w:rFonts w:cs="Arial"/>
          <w:sz w:val="24"/>
        </w:rPr>
      </w:pPr>
    </w:p>
    <w:p w14:paraId="78FC4738" w14:textId="1A728D89" w:rsidR="005E3982" w:rsidRPr="004E726B" w:rsidRDefault="0028602F" w:rsidP="002217F7">
      <w:pPr>
        <w:rPr>
          <w:rFonts w:cs="Arial"/>
          <w:sz w:val="24"/>
        </w:rPr>
      </w:pPr>
      <w:r w:rsidRPr="004E726B">
        <w:rPr>
          <w:rFonts w:cs="Arial"/>
          <w:sz w:val="24"/>
        </w:rPr>
        <w:t>The opportunity</w:t>
      </w:r>
      <w:r w:rsidR="005E3982" w:rsidRPr="004E726B">
        <w:rPr>
          <w:rFonts w:cs="Arial"/>
          <w:sz w:val="24"/>
        </w:rPr>
        <w:t xml:space="preserve"> to clarify the role the Standard plays in the </w:t>
      </w:r>
      <w:r w:rsidR="003C6C5E" w:rsidRPr="004E726B">
        <w:rPr>
          <w:rFonts w:cs="Arial"/>
          <w:sz w:val="24"/>
        </w:rPr>
        <w:t xml:space="preserve">careers </w:t>
      </w:r>
      <w:r w:rsidR="005E3982" w:rsidRPr="004E726B">
        <w:rPr>
          <w:rFonts w:cs="Arial"/>
          <w:sz w:val="24"/>
        </w:rPr>
        <w:t>policy environment</w:t>
      </w:r>
      <w:r w:rsidR="00750FA9" w:rsidRPr="004E726B">
        <w:rPr>
          <w:rFonts w:cs="Arial"/>
          <w:sz w:val="24"/>
        </w:rPr>
        <w:t>,</w:t>
      </w:r>
      <w:r w:rsidR="00F9406E" w:rsidRPr="004E726B">
        <w:rPr>
          <w:rFonts w:cs="Arial"/>
          <w:sz w:val="24"/>
        </w:rPr>
        <w:t xml:space="preserve"> 80% </w:t>
      </w:r>
      <w:r w:rsidR="00AA4DB2" w:rsidRPr="004E726B">
        <w:rPr>
          <w:rFonts w:cs="Arial"/>
          <w:sz w:val="24"/>
        </w:rPr>
        <w:t xml:space="preserve">agreed that </w:t>
      </w:r>
      <w:r w:rsidR="00710C06" w:rsidRPr="004E726B">
        <w:rPr>
          <w:rFonts w:cs="Arial"/>
          <w:sz w:val="24"/>
        </w:rPr>
        <w:t xml:space="preserve">that the Standard should map across to the Ofsted </w:t>
      </w:r>
      <w:r w:rsidR="00451EF0" w:rsidRPr="004E726B">
        <w:rPr>
          <w:rFonts w:cs="Arial"/>
          <w:sz w:val="24"/>
        </w:rPr>
        <w:t xml:space="preserve">and </w:t>
      </w:r>
      <w:r w:rsidR="00107E99" w:rsidRPr="004E726B">
        <w:rPr>
          <w:rFonts w:cs="Arial"/>
          <w:sz w:val="24"/>
        </w:rPr>
        <w:t xml:space="preserve">75% agreed it should </w:t>
      </w:r>
      <w:r w:rsidR="00CB265A" w:rsidRPr="004E726B">
        <w:rPr>
          <w:rFonts w:cs="Arial"/>
          <w:sz w:val="24"/>
        </w:rPr>
        <w:t>map across to the Gatsby Benchmarks</w:t>
      </w:r>
      <w:r w:rsidR="00BA2B5F" w:rsidRPr="004E726B">
        <w:rPr>
          <w:rFonts w:cs="Arial"/>
          <w:sz w:val="24"/>
        </w:rPr>
        <w:t>.</w:t>
      </w:r>
    </w:p>
    <w:p w14:paraId="1DCFCFC0" w14:textId="4861B1FF" w:rsidR="00AD2353" w:rsidRPr="004E726B" w:rsidRDefault="00AD2353" w:rsidP="002217F7">
      <w:pPr>
        <w:rPr>
          <w:rFonts w:cs="Arial"/>
          <w:sz w:val="24"/>
        </w:rPr>
      </w:pPr>
    </w:p>
    <w:p w14:paraId="66F654C8" w14:textId="3AF3D5C9" w:rsidR="00AD2353" w:rsidRPr="004E726B" w:rsidRDefault="00AD2353" w:rsidP="002217F7">
      <w:pPr>
        <w:rPr>
          <w:rFonts w:cs="Arial"/>
          <w:sz w:val="24"/>
        </w:rPr>
      </w:pPr>
      <w:r w:rsidRPr="004E726B">
        <w:rPr>
          <w:rFonts w:cs="Arial"/>
          <w:sz w:val="24"/>
        </w:rPr>
        <w:t xml:space="preserve">The survey results were broadly in line with the SWOT analysis developed from the Advisory Group </w:t>
      </w:r>
      <w:r w:rsidR="003C78DC" w:rsidRPr="004E726B">
        <w:rPr>
          <w:rFonts w:cs="Arial"/>
          <w:sz w:val="24"/>
        </w:rPr>
        <w:t xml:space="preserve">SWOT analysis </w:t>
      </w:r>
      <w:r w:rsidRPr="004E726B">
        <w:rPr>
          <w:rFonts w:cs="Arial"/>
          <w:sz w:val="24"/>
        </w:rPr>
        <w:t>feedback</w:t>
      </w:r>
      <w:r w:rsidR="00AE133B" w:rsidRPr="004E726B">
        <w:rPr>
          <w:rFonts w:cs="Arial"/>
          <w:sz w:val="24"/>
        </w:rPr>
        <w:t xml:space="preserve"> (see </w:t>
      </w:r>
      <w:hyperlink w:anchor="_SWOT_Analysis" w:history="1">
        <w:r w:rsidR="00AE133B" w:rsidRPr="004E726B">
          <w:rPr>
            <w:rStyle w:val="Hyperlink"/>
            <w:rFonts w:cs="Arial"/>
            <w:sz w:val="24"/>
          </w:rPr>
          <w:t>above</w:t>
        </w:r>
      </w:hyperlink>
      <w:r w:rsidR="00AE133B" w:rsidRPr="004E726B">
        <w:rPr>
          <w:rFonts w:cs="Arial"/>
          <w:sz w:val="24"/>
        </w:rPr>
        <w:t>)</w:t>
      </w:r>
      <w:r w:rsidRPr="004E726B">
        <w:rPr>
          <w:rFonts w:cs="Arial"/>
          <w:sz w:val="24"/>
        </w:rPr>
        <w:t>. The key findings from the surveys were:</w:t>
      </w:r>
    </w:p>
    <w:p w14:paraId="77DF87B8" w14:textId="4BCE70C8" w:rsidR="00AD2353" w:rsidRPr="004E726B" w:rsidRDefault="00AD2353" w:rsidP="006C484E">
      <w:pPr>
        <w:pStyle w:val="ListParagraph"/>
        <w:numPr>
          <w:ilvl w:val="0"/>
          <w:numId w:val="45"/>
        </w:numPr>
        <w:spacing w:line="240" w:lineRule="auto"/>
        <w:rPr>
          <w:sz w:val="24"/>
          <w:szCs w:val="24"/>
        </w:rPr>
      </w:pPr>
      <w:r w:rsidRPr="004E726B">
        <w:rPr>
          <w:sz w:val="24"/>
          <w:szCs w:val="24"/>
        </w:rPr>
        <w:t>Strong agreement that if IAG is to be successful it must be supported by the leadership team within the organisation</w:t>
      </w:r>
      <w:r w:rsidR="006E21B9" w:rsidRPr="004E726B">
        <w:rPr>
          <w:sz w:val="24"/>
          <w:szCs w:val="24"/>
        </w:rPr>
        <w:t>.</w:t>
      </w:r>
    </w:p>
    <w:p w14:paraId="6157256B" w14:textId="55186A22" w:rsidR="00AD2353" w:rsidRPr="004E726B" w:rsidRDefault="00750FA9" w:rsidP="006C484E">
      <w:pPr>
        <w:pStyle w:val="ListParagraph"/>
        <w:numPr>
          <w:ilvl w:val="0"/>
          <w:numId w:val="45"/>
        </w:numPr>
        <w:spacing w:line="240" w:lineRule="auto"/>
        <w:rPr>
          <w:sz w:val="24"/>
          <w:szCs w:val="24"/>
        </w:rPr>
      </w:pPr>
      <w:r w:rsidRPr="004E726B">
        <w:rPr>
          <w:sz w:val="24"/>
          <w:szCs w:val="24"/>
        </w:rPr>
        <w:t>R</w:t>
      </w:r>
      <w:r w:rsidR="00AD2353" w:rsidRPr="004E726B">
        <w:rPr>
          <w:sz w:val="24"/>
          <w:szCs w:val="24"/>
        </w:rPr>
        <w:t xml:space="preserve">ecognition of the </w:t>
      </w:r>
      <w:r w:rsidR="00AE133B" w:rsidRPr="004E726B">
        <w:rPr>
          <w:sz w:val="24"/>
          <w:szCs w:val="24"/>
        </w:rPr>
        <w:t>need to map the Standard with the Gatsby Benchmarks and Ofsted</w:t>
      </w:r>
      <w:r w:rsidR="00503EC9" w:rsidRPr="004E726B">
        <w:rPr>
          <w:sz w:val="24"/>
          <w:szCs w:val="24"/>
        </w:rPr>
        <w:t xml:space="preserve"> Education</w:t>
      </w:r>
      <w:r w:rsidR="00AE133B" w:rsidRPr="004E726B">
        <w:rPr>
          <w:sz w:val="24"/>
          <w:szCs w:val="24"/>
        </w:rPr>
        <w:t xml:space="preserve"> Inspection Framework, but also noting </w:t>
      </w:r>
      <w:r w:rsidR="00503EC9" w:rsidRPr="004E726B">
        <w:rPr>
          <w:sz w:val="24"/>
          <w:szCs w:val="24"/>
        </w:rPr>
        <w:t>that</w:t>
      </w:r>
      <w:r w:rsidR="00AE133B" w:rsidRPr="004E726B">
        <w:rPr>
          <w:sz w:val="24"/>
          <w:szCs w:val="24"/>
        </w:rPr>
        <w:t xml:space="preserve"> </w:t>
      </w:r>
      <w:r w:rsidR="006E21B9" w:rsidRPr="004E726B">
        <w:rPr>
          <w:sz w:val="24"/>
          <w:szCs w:val="24"/>
        </w:rPr>
        <w:t>these</w:t>
      </w:r>
      <w:r w:rsidR="00AE133B" w:rsidRPr="004E726B">
        <w:rPr>
          <w:sz w:val="24"/>
          <w:szCs w:val="24"/>
        </w:rPr>
        <w:t xml:space="preserve"> frameworks are not relevant for all organisations who seek </w:t>
      </w:r>
      <w:r w:rsidR="00AE133B" w:rsidRPr="004E726B">
        <w:rPr>
          <w:b/>
          <w:bCs/>
          <w:sz w:val="24"/>
          <w:szCs w:val="24"/>
        </w:rPr>
        <w:t>matrix</w:t>
      </w:r>
      <w:r w:rsidR="00AE133B" w:rsidRPr="004E726B">
        <w:rPr>
          <w:sz w:val="24"/>
          <w:szCs w:val="24"/>
        </w:rPr>
        <w:t xml:space="preserve"> Accreditation</w:t>
      </w:r>
      <w:r w:rsidR="006E21B9" w:rsidRPr="004E726B">
        <w:rPr>
          <w:sz w:val="24"/>
          <w:szCs w:val="24"/>
        </w:rPr>
        <w:t>.</w:t>
      </w:r>
    </w:p>
    <w:p w14:paraId="5E5F04C9" w14:textId="650D506D" w:rsidR="00AE133B" w:rsidRPr="004E726B" w:rsidRDefault="00AE133B" w:rsidP="006C484E">
      <w:pPr>
        <w:pStyle w:val="ListParagraph"/>
        <w:numPr>
          <w:ilvl w:val="0"/>
          <w:numId w:val="45"/>
        </w:numPr>
        <w:spacing w:line="240" w:lineRule="auto"/>
        <w:rPr>
          <w:sz w:val="24"/>
          <w:szCs w:val="24"/>
        </w:rPr>
      </w:pPr>
      <w:r w:rsidRPr="004E726B">
        <w:rPr>
          <w:sz w:val="24"/>
          <w:szCs w:val="24"/>
        </w:rPr>
        <w:t>Plan</w:t>
      </w:r>
      <w:r w:rsidR="003C78DC" w:rsidRPr="004E726B">
        <w:rPr>
          <w:sz w:val="24"/>
          <w:szCs w:val="24"/>
        </w:rPr>
        <w:t xml:space="preserve">, </w:t>
      </w:r>
      <w:r w:rsidRPr="004E726B">
        <w:rPr>
          <w:sz w:val="24"/>
          <w:szCs w:val="24"/>
        </w:rPr>
        <w:t>do</w:t>
      </w:r>
      <w:r w:rsidR="003C78DC" w:rsidRPr="004E726B">
        <w:rPr>
          <w:sz w:val="24"/>
          <w:szCs w:val="24"/>
        </w:rPr>
        <w:t xml:space="preserve">, </w:t>
      </w:r>
      <w:r w:rsidRPr="004E726B">
        <w:rPr>
          <w:sz w:val="24"/>
          <w:szCs w:val="24"/>
        </w:rPr>
        <w:t>review cycle seen as positive</w:t>
      </w:r>
      <w:r w:rsidR="006E21B9" w:rsidRPr="004E726B">
        <w:rPr>
          <w:sz w:val="24"/>
          <w:szCs w:val="24"/>
        </w:rPr>
        <w:t>.</w:t>
      </w:r>
    </w:p>
    <w:p w14:paraId="05E66269" w14:textId="6A059BC6" w:rsidR="00AE133B" w:rsidRPr="004E726B" w:rsidRDefault="006E21B9" w:rsidP="000A158D">
      <w:pPr>
        <w:pStyle w:val="ListParagraph"/>
        <w:numPr>
          <w:ilvl w:val="0"/>
          <w:numId w:val="45"/>
        </w:numPr>
        <w:rPr>
          <w:sz w:val="24"/>
          <w:szCs w:val="24"/>
        </w:rPr>
      </w:pPr>
      <w:r w:rsidRPr="004E726B">
        <w:rPr>
          <w:sz w:val="24"/>
          <w:szCs w:val="24"/>
        </w:rPr>
        <w:t>Respondent</w:t>
      </w:r>
      <w:r w:rsidR="003C78DC" w:rsidRPr="004E726B">
        <w:rPr>
          <w:sz w:val="24"/>
          <w:szCs w:val="24"/>
        </w:rPr>
        <w:t>s</w:t>
      </w:r>
      <w:r w:rsidRPr="004E726B">
        <w:rPr>
          <w:sz w:val="24"/>
          <w:szCs w:val="24"/>
        </w:rPr>
        <w:t xml:space="preserve"> v</w:t>
      </w:r>
      <w:r w:rsidR="00AE133B" w:rsidRPr="004E726B">
        <w:rPr>
          <w:sz w:val="24"/>
          <w:szCs w:val="24"/>
        </w:rPr>
        <w:t>alue</w:t>
      </w:r>
      <w:r w:rsidRPr="004E726B">
        <w:rPr>
          <w:sz w:val="24"/>
          <w:szCs w:val="24"/>
        </w:rPr>
        <w:t xml:space="preserve"> </w:t>
      </w:r>
      <w:r w:rsidR="00AE133B" w:rsidRPr="004E726B">
        <w:rPr>
          <w:sz w:val="24"/>
          <w:szCs w:val="24"/>
        </w:rPr>
        <w:t xml:space="preserve">annual </w:t>
      </w:r>
      <w:r w:rsidRPr="004E726B">
        <w:rPr>
          <w:sz w:val="24"/>
          <w:szCs w:val="24"/>
        </w:rPr>
        <w:t>C</w:t>
      </w:r>
      <w:r w:rsidR="00AE133B" w:rsidRPr="004E726B">
        <w:rPr>
          <w:sz w:val="24"/>
          <w:szCs w:val="24"/>
        </w:rPr>
        <w:t xml:space="preserve">ontinuous </w:t>
      </w:r>
      <w:r w:rsidRPr="004E726B">
        <w:rPr>
          <w:sz w:val="24"/>
          <w:szCs w:val="24"/>
        </w:rPr>
        <w:t>I</w:t>
      </w:r>
      <w:r w:rsidR="00AE133B" w:rsidRPr="004E726B">
        <w:rPr>
          <w:sz w:val="24"/>
          <w:szCs w:val="24"/>
        </w:rPr>
        <w:t xml:space="preserve">mprovement </w:t>
      </w:r>
      <w:r w:rsidRPr="004E726B">
        <w:rPr>
          <w:sz w:val="24"/>
          <w:szCs w:val="24"/>
        </w:rPr>
        <w:t>C</w:t>
      </w:r>
      <w:r w:rsidR="00AE133B" w:rsidRPr="004E726B">
        <w:rPr>
          <w:sz w:val="24"/>
          <w:szCs w:val="24"/>
        </w:rPr>
        <w:t>hecks</w:t>
      </w:r>
      <w:r w:rsidR="00B61570" w:rsidRPr="004E726B">
        <w:rPr>
          <w:sz w:val="24"/>
          <w:szCs w:val="24"/>
        </w:rPr>
        <w:t xml:space="preserve"> (CICs)</w:t>
      </w:r>
      <w:r w:rsidR="00750FA9" w:rsidRPr="004E726B">
        <w:rPr>
          <w:sz w:val="24"/>
          <w:szCs w:val="24"/>
        </w:rPr>
        <w:t>,</w:t>
      </w:r>
      <w:r w:rsidR="009E58EC" w:rsidRPr="004E726B">
        <w:rPr>
          <w:sz w:val="24"/>
          <w:szCs w:val="24"/>
        </w:rPr>
        <w:t xml:space="preserve"> 75% </w:t>
      </w:r>
      <w:r w:rsidR="00943535" w:rsidRPr="004E726B">
        <w:rPr>
          <w:sz w:val="24"/>
          <w:szCs w:val="24"/>
        </w:rPr>
        <w:t xml:space="preserve">agreed that they are </w:t>
      </w:r>
      <w:r w:rsidR="004D3336" w:rsidRPr="004E726B">
        <w:rPr>
          <w:sz w:val="24"/>
          <w:szCs w:val="24"/>
        </w:rPr>
        <w:t>effective in mo</w:t>
      </w:r>
      <w:r w:rsidR="00F873BE" w:rsidRPr="004E726B">
        <w:rPr>
          <w:sz w:val="24"/>
          <w:szCs w:val="24"/>
        </w:rPr>
        <w:t>nitoring the IAG</w:t>
      </w:r>
      <w:r w:rsidR="00B61570" w:rsidRPr="004E726B">
        <w:rPr>
          <w:sz w:val="24"/>
          <w:szCs w:val="24"/>
        </w:rPr>
        <w:t xml:space="preserve"> delivery and improvement</w:t>
      </w:r>
      <w:r w:rsidR="003C6C5E" w:rsidRPr="004E726B">
        <w:rPr>
          <w:sz w:val="24"/>
          <w:szCs w:val="24"/>
        </w:rPr>
        <w:t xml:space="preserve"> and</w:t>
      </w:r>
      <w:r w:rsidR="00110446" w:rsidRPr="004E726B">
        <w:rPr>
          <w:sz w:val="24"/>
          <w:szCs w:val="24"/>
        </w:rPr>
        <w:t xml:space="preserve"> </w:t>
      </w:r>
      <w:r w:rsidR="00F873BE" w:rsidRPr="004E726B">
        <w:rPr>
          <w:sz w:val="24"/>
          <w:szCs w:val="24"/>
        </w:rPr>
        <w:t xml:space="preserve">whilst </w:t>
      </w:r>
      <w:r w:rsidR="00117EA3" w:rsidRPr="004E726B">
        <w:rPr>
          <w:sz w:val="24"/>
          <w:szCs w:val="24"/>
        </w:rPr>
        <w:t>continuous improvement is an on-going process</w:t>
      </w:r>
      <w:r w:rsidR="00DE3228" w:rsidRPr="004E726B">
        <w:rPr>
          <w:sz w:val="24"/>
          <w:szCs w:val="24"/>
        </w:rPr>
        <w:t>,</w:t>
      </w:r>
      <w:r w:rsidR="00117EA3" w:rsidRPr="004E726B">
        <w:rPr>
          <w:sz w:val="24"/>
          <w:szCs w:val="24"/>
        </w:rPr>
        <w:t xml:space="preserve"> </w:t>
      </w:r>
      <w:r w:rsidR="004F3A11" w:rsidRPr="004E726B">
        <w:rPr>
          <w:sz w:val="24"/>
          <w:szCs w:val="24"/>
        </w:rPr>
        <w:t xml:space="preserve">structured discussions </w:t>
      </w:r>
      <w:r w:rsidR="00B61570" w:rsidRPr="004E726B">
        <w:rPr>
          <w:sz w:val="24"/>
          <w:szCs w:val="24"/>
        </w:rPr>
        <w:t>between</w:t>
      </w:r>
      <w:r w:rsidR="004F3A11" w:rsidRPr="004E726B">
        <w:rPr>
          <w:sz w:val="24"/>
          <w:szCs w:val="24"/>
        </w:rPr>
        <w:t xml:space="preserve"> assessors and </w:t>
      </w:r>
      <w:r w:rsidR="00E94C17" w:rsidRPr="004E726B">
        <w:rPr>
          <w:sz w:val="24"/>
          <w:szCs w:val="24"/>
        </w:rPr>
        <w:t>organisations</w:t>
      </w:r>
      <w:r w:rsidR="00B61570" w:rsidRPr="004E726B">
        <w:rPr>
          <w:sz w:val="24"/>
          <w:szCs w:val="24"/>
        </w:rPr>
        <w:t xml:space="preserve"> during the </w:t>
      </w:r>
      <w:r w:rsidR="00A97438" w:rsidRPr="004E726B">
        <w:rPr>
          <w:sz w:val="24"/>
          <w:szCs w:val="24"/>
        </w:rPr>
        <w:t>CICs was</w:t>
      </w:r>
      <w:r w:rsidR="00B61570" w:rsidRPr="004E726B">
        <w:rPr>
          <w:sz w:val="24"/>
          <w:szCs w:val="24"/>
        </w:rPr>
        <w:t xml:space="preserve"> beneficial. However</w:t>
      </w:r>
      <w:r w:rsidR="0094008C" w:rsidRPr="004E726B">
        <w:rPr>
          <w:sz w:val="24"/>
          <w:szCs w:val="24"/>
        </w:rPr>
        <w:t>,</w:t>
      </w:r>
      <w:r w:rsidR="00B61570" w:rsidRPr="004E726B">
        <w:rPr>
          <w:sz w:val="24"/>
          <w:szCs w:val="24"/>
        </w:rPr>
        <w:t xml:space="preserve"> there was some </w:t>
      </w:r>
      <w:r w:rsidR="00A97438" w:rsidRPr="004E726B">
        <w:rPr>
          <w:sz w:val="24"/>
          <w:szCs w:val="24"/>
        </w:rPr>
        <w:t>acknowledgment that</w:t>
      </w:r>
      <w:r w:rsidR="00A4636E" w:rsidRPr="004E726B">
        <w:rPr>
          <w:sz w:val="24"/>
          <w:szCs w:val="24"/>
        </w:rPr>
        <w:t xml:space="preserve"> where </w:t>
      </w:r>
      <w:r w:rsidR="00B61570" w:rsidRPr="004E726B">
        <w:rPr>
          <w:sz w:val="24"/>
          <w:szCs w:val="24"/>
        </w:rPr>
        <w:t xml:space="preserve">organisations had established systems in place to ensure continuous improvement </w:t>
      </w:r>
      <w:r w:rsidR="00D31464" w:rsidRPr="004E726B">
        <w:rPr>
          <w:sz w:val="24"/>
          <w:szCs w:val="24"/>
        </w:rPr>
        <w:t xml:space="preserve">and </w:t>
      </w:r>
      <w:r w:rsidR="00DC01FA" w:rsidRPr="004E726B">
        <w:rPr>
          <w:sz w:val="24"/>
          <w:szCs w:val="24"/>
        </w:rPr>
        <w:t xml:space="preserve">where </w:t>
      </w:r>
      <w:r w:rsidR="00D31464" w:rsidRPr="004E726B">
        <w:rPr>
          <w:sz w:val="24"/>
          <w:szCs w:val="24"/>
        </w:rPr>
        <w:t>there has been minimal organis</w:t>
      </w:r>
      <w:r w:rsidR="008E7483" w:rsidRPr="004E726B">
        <w:rPr>
          <w:sz w:val="24"/>
          <w:szCs w:val="24"/>
        </w:rPr>
        <w:t>ation</w:t>
      </w:r>
      <w:r w:rsidR="00D31464" w:rsidRPr="004E726B">
        <w:rPr>
          <w:sz w:val="24"/>
          <w:szCs w:val="24"/>
        </w:rPr>
        <w:t>al change</w:t>
      </w:r>
      <w:r w:rsidR="00B61570" w:rsidRPr="004E726B">
        <w:rPr>
          <w:sz w:val="24"/>
          <w:szCs w:val="24"/>
        </w:rPr>
        <w:t>,</w:t>
      </w:r>
      <w:r w:rsidR="008E7483" w:rsidRPr="004E726B">
        <w:rPr>
          <w:sz w:val="24"/>
          <w:szCs w:val="24"/>
        </w:rPr>
        <w:t xml:space="preserve"> then the</w:t>
      </w:r>
      <w:r w:rsidR="00930518" w:rsidRPr="004E726B">
        <w:rPr>
          <w:sz w:val="24"/>
          <w:szCs w:val="24"/>
        </w:rPr>
        <w:t xml:space="preserve">re can be </w:t>
      </w:r>
      <w:r w:rsidR="008E7483" w:rsidRPr="004E726B">
        <w:rPr>
          <w:sz w:val="24"/>
          <w:szCs w:val="24"/>
        </w:rPr>
        <w:t>less scope</w:t>
      </w:r>
      <w:r w:rsidR="00B61570" w:rsidRPr="004E726B">
        <w:rPr>
          <w:sz w:val="24"/>
          <w:szCs w:val="24"/>
        </w:rPr>
        <w:t xml:space="preserve"> for CICs</w:t>
      </w:r>
      <w:r w:rsidR="008E7483" w:rsidRPr="004E726B">
        <w:rPr>
          <w:sz w:val="24"/>
          <w:szCs w:val="24"/>
        </w:rPr>
        <w:t xml:space="preserve"> to add </w:t>
      </w:r>
      <w:r w:rsidR="00C0524E" w:rsidRPr="004E726B">
        <w:rPr>
          <w:sz w:val="24"/>
          <w:szCs w:val="24"/>
        </w:rPr>
        <w:t xml:space="preserve">value.  Nevertheless, </w:t>
      </w:r>
      <w:r w:rsidR="00B61570" w:rsidRPr="004E726B">
        <w:rPr>
          <w:sz w:val="24"/>
          <w:szCs w:val="24"/>
        </w:rPr>
        <w:t xml:space="preserve">CICs provided a </w:t>
      </w:r>
      <w:r w:rsidR="00C0524E" w:rsidRPr="004E726B">
        <w:rPr>
          <w:sz w:val="24"/>
          <w:szCs w:val="24"/>
        </w:rPr>
        <w:t xml:space="preserve">good </w:t>
      </w:r>
      <w:r w:rsidR="009F658C" w:rsidRPr="004E726B">
        <w:rPr>
          <w:sz w:val="24"/>
          <w:szCs w:val="24"/>
        </w:rPr>
        <w:t xml:space="preserve">opportunity </w:t>
      </w:r>
      <w:r w:rsidR="00652F26" w:rsidRPr="004E726B">
        <w:rPr>
          <w:sz w:val="24"/>
          <w:szCs w:val="24"/>
        </w:rPr>
        <w:t>to review progress and monitor the organisation</w:t>
      </w:r>
      <w:r w:rsidR="00B61570" w:rsidRPr="004E726B">
        <w:rPr>
          <w:sz w:val="24"/>
          <w:szCs w:val="24"/>
        </w:rPr>
        <w:t xml:space="preserve"> progress</w:t>
      </w:r>
      <w:r w:rsidR="00652F26" w:rsidRPr="004E726B">
        <w:rPr>
          <w:sz w:val="24"/>
          <w:szCs w:val="24"/>
        </w:rPr>
        <w:t>.</w:t>
      </w:r>
    </w:p>
    <w:p w14:paraId="0D98EFC1" w14:textId="18AE26F7" w:rsidR="00BC02D5" w:rsidRPr="004E726B" w:rsidRDefault="00744C91" w:rsidP="006C484E">
      <w:pPr>
        <w:pStyle w:val="ListParagraph"/>
        <w:numPr>
          <w:ilvl w:val="0"/>
          <w:numId w:val="45"/>
        </w:numPr>
        <w:spacing w:line="240" w:lineRule="auto"/>
        <w:rPr>
          <w:sz w:val="24"/>
          <w:szCs w:val="24"/>
          <w:u w:val="single"/>
        </w:rPr>
      </w:pPr>
      <w:r w:rsidRPr="004E726B">
        <w:rPr>
          <w:sz w:val="24"/>
          <w:szCs w:val="24"/>
        </w:rPr>
        <w:t>O</w:t>
      </w:r>
      <w:r w:rsidR="00AE133B" w:rsidRPr="004E726B">
        <w:rPr>
          <w:sz w:val="24"/>
          <w:szCs w:val="24"/>
        </w:rPr>
        <w:t>rganisations value and gain benefits from using the Standard</w:t>
      </w:r>
      <w:r w:rsidRPr="004E726B">
        <w:rPr>
          <w:sz w:val="24"/>
          <w:szCs w:val="24"/>
        </w:rPr>
        <w:t>,</w:t>
      </w:r>
      <w:r w:rsidR="001C2993" w:rsidRPr="004E726B">
        <w:rPr>
          <w:sz w:val="24"/>
          <w:szCs w:val="24"/>
        </w:rPr>
        <w:t xml:space="preserve"> 80% </w:t>
      </w:r>
      <w:r w:rsidR="000B15CE" w:rsidRPr="004E726B">
        <w:rPr>
          <w:sz w:val="24"/>
          <w:szCs w:val="24"/>
        </w:rPr>
        <w:t xml:space="preserve">see the Standard as an appropriate tool </w:t>
      </w:r>
      <w:r w:rsidR="00D05D3E" w:rsidRPr="004E726B">
        <w:rPr>
          <w:sz w:val="24"/>
          <w:szCs w:val="24"/>
        </w:rPr>
        <w:t xml:space="preserve">for improving IAG practice and 80% </w:t>
      </w:r>
      <w:r w:rsidR="001C2993" w:rsidRPr="004E726B">
        <w:rPr>
          <w:sz w:val="24"/>
          <w:szCs w:val="24"/>
        </w:rPr>
        <w:t xml:space="preserve">would recommend </w:t>
      </w:r>
      <w:r w:rsidR="00DE2E78" w:rsidRPr="004E726B">
        <w:rPr>
          <w:sz w:val="24"/>
          <w:szCs w:val="24"/>
        </w:rPr>
        <w:t>the Standard</w:t>
      </w:r>
      <w:r w:rsidR="001C2993" w:rsidRPr="004E726B">
        <w:rPr>
          <w:sz w:val="24"/>
          <w:szCs w:val="24"/>
        </w:rPr>
        <w:t xml:space="preserve"> to other providers</w:t>
      </w:r>
      <w:r w:rsidR="00464010" w:rsidRPr="004E726B">
        <w:rPr>
          <w:sz w:val="24"/>
          <w:szCs w:val="24"/>
        </w:rPr>
        <w:t>.</w:t>
      </w:r>
      <w:r w:rsidR="0024379A" w:rsidRPr="004E726B">
        <w:rPr>
          <w:sz w:val="24"/>
          <w:szCs w:val="24"/>
        </w:rPr>
        <w:t xml:space="preserve"> </w:t>
      </w:r>
    </w:p>
    <w:p w14:paraId="357D9EAB" w14:textId="77777777" w:rsidR="00D10FD2" w:rsidRDefault="00D10FD2">
      <w:pPr>
        <w:jc w:val="left"/>
        <w:rPr>
          <w:rFonts w:asciiTheme="majorHAnsi" w:eastAsiaTheme="majorEastAsia" w:hAnsiTheme="majorHAnsi" w:cstheme="majorBidi"/>
          <w:bCs/>
          <w:color w:val="003087"/>
          <w:sz w:val="40"/>
          <w:szCs w:val="40"/>
        </w:rPr>
      </w:pPr>
      <w:bookmarkStart w:id="31" w:name="_Toc116456717"/>
      <w:r>
        <w:br w:type="page"/>
      </w:r>
    </w:p>
    <w:p w14:paraId="47A4FABF" w14:textId="1386CD45" w:rsidR="00AE133B" w:rsidRPr="00C36FBC" w:rsidRDefault="00A368F1" w:rsidP="000B550F">
      <w:pPr>
        <w:pStyle w:val="Heading1"/>
      </w:pPr>
      <w:bookmarkStart w:id="32" w:name="_Toc129688504"/>
      <w:r w:rsidRPr="00C36FBC">
        <w:lastRenderedPageBreak/>
        <w:t>Development of Alpha and Beta Versions</w:t>
      </w:r>
      <w:bookmarkEnd w:id="31"/>
      <w:bookmarkEnd w:id="32"/>
    </w:p>
    <w:p w14:paraId="10BC80ED" w14:textId="2AAAACC9" w:rsidR="00EA0923" w:rsidRPr="00C36FBC" w:rsidRDefault="00EA0923" w:rsidP="002217F7">
      <w:pPr>
        <w:rPr>
          <w:rFonts w:cs="Arial"/>
        </w:rPr>
      </w:pPr>
    </w:p>
    <w:p w14:paraId="3751DD98" w14:textId="77777777" w:rsidR="00DE5D77" w:rsidRPr="00B846AB" w:rsidRDefault="00EA0923" w:rsidP="002217F7">
      <w:pPr>
        <w:rPr>
          <w:rFonts w:cs="Arial"/>
          <w:sz w:val="24"/>
        </w:rPr>
      </w:pPr>
      <w:r w:rsidRPr="00B846AB">
        <w:rPr>
          <w:rFonts w:cs="Arial"/>
          <w:sz w:val="24"/>
        </w:rPr>
        <w:t xml:space="preserve">Using the findings </w:t>
      </w:r>
      <w:r w:rsidR="00554E60" w:rsidRPr="00B846AB">
        <w:rPr>
          <w:rFonts w:cs="Arial"/>
          <w:sz w:val="24"/>
        </w:rPr>
        <w:t>from the literature review, ad</w:t>
      </w:r>
      <w:r w:rsidR="00C15A4C" w:rsidRPr="00B846AB">
        <w:rPr>
          <w:rFonts w:cs="Arial"/>
          <w:sz w:val="24"/>
        </w:rPr>
        <w:t xml:space="preserve">visory group feedback and surveys, an </w:t>
      </w:r>
      <w:r w:rsidR="00A368F1" w:rsidRPr="00B846AB">
        <w:rPr>
          <w:rFonts w:cs="Arial"/>
          <w:sz w:val="24"/>
        </w:rPr>
        <w:t>a</w:t>
      </w:r>
      <w:r w:rsidR="00C15A4C" w:rsidRPr="00B846AB">
        <w:rPr>
          <w:rFonts w:cs="Arial"/>
          <w:sz w:val="24"/>
        </w:rPr>
        <w:t xml:space="preserve">lpha version of the Standard was </w:t>
      </w:r>
      <w:r w:rsidR="00A368F1" w:rsidRPr="00B846AB">
        <w:rPr>
          <w:rFonts w:cs="Arial"/>
          <w:sz w:val="24"/>
        </w:rPr>
        <w:t>documented, and</w:t>
      </w:r>
      <w:r w:rsidR="00C15A4C" w:rsidRPr="00B846AB">
        <w:rPr>
          <w:rFonts w:cs="Arial"/>
          <w:sz w:val="24"/>
        </w:rPr>
        <w:t xml:space="preserve"> further feedback was gained. </w:t>
      </w:r>
      <w:r w:rsidR="00120C17" w:rsidRPr="00B846AB">
        <w:rPr>
          <w:rFonts w:cs="Arial"/>
          <w:sz w:val="24"/>
        </w:rPr>
        <w:t xml:space="preserve">The </w:t>
      </w:r>
      <w:r w:rsidR="00A368F1" w:rsidRPr="00B846AB">
        <w:rPr>
          <w:rFonts w:cs="Arial"/>
          <w:sz w:val="24"/>
        </w:rPr>
        <w:t>a</w:t>
      </w:r>
      <w:r w:rsidR="00120C17" w:rsidRPr="00B846AB">
        <w:rPr>
          <w:rFonts w:cs="Arial"/>
          <w:sz w:val="24"/>
        </w:rPr>
        <w:t xml:space="preserve">lpha </w:t>
      </w:r>
      <w:r w:rsidR="00A368F1" w:rsidRPr="00B846AB">
        <w:rPr>
          <w:rFonts w:cs="Arial"/>
          <w:sz w:val="24"/>
        </w:rPr>
        <w:t>v</w:t>
      </w:r>
      <w:r w:rsidR="00120C17" w:rsidRPr="00B846AB">
        <w:rPr>
          <w:rFonts w:cs="Arial"/>
          <w:sz w:val="24"/>
        </w:rPr>
        <w:t xml:space="preserve">ersion was developed by </w:t>
      </w:r>
      <w:r w:rsidR="005520C1" w:rsidRPr="00B846AB">
        <w:rPr>
          <w:rFonts w:cs="Arial"/>
          <w:sz w:val="24"/>
        </w:rPr>
        <w:t xml:space="preserve">a subset of </w:t>
      </w:r>
      <w:r w:rsidR="0001666F" w:rsidRPr="00B846AB">
        <w:rPr>
          <w:rFonts w:cs="Arial"/>
          <w:sz w:val="24"/>
        </w:rPr>
        <w:t>members of the Executive Group</w:t>
      </w:r>
      <w:r w:rsidR="00DE5D77" w:rsidRPr="00B846AB">
        <w:rPr>
          <w:rFonts w:cs="Arial"/>
          <w:sz w:val="24"/>
        </w:rPr>
        <w:t>.</w:t>
      </w:r>
    </w:p>
    <w:p w14:paraId="563F785C" w14:textId="77777777" w:rsidR="00B46B96" w:rsidRPr="00B846AB" w:rsidRDefault="00B46B96" w:rsidP="002217F7">
      <w:pPr>
        <w:rPr>
          <w:rFonts w:cs="Arial"/>
          <w:sz w:val="24"/>
        </w:rPr>
      </w:pPr>
    </w:p>
    <w:p w14:paraId="46D34501" w14:textId="68DF3DA8" w:rsidR="00B46B96" w:rsidRPr="00B846AB" w:rsidRDefault="00B46B96" w:rsidP="00B46B96">
      <w:pPr>
        <w:rPr>
          <w:rFonts w:cs="Arial"/>
          <w:sz w:val="24"/>
        </w:rPr>
      </w:pPr>
      <w:r w:rsidRPr="00B846AB">
        <w:rPr>
          <w:rFonts w:cs="Arial"/>
          <w:sz w:val="24"/>
        </w:rPr>
        <w:t>The current Standard is comprised of four elements:</w:t>
      </w:r>
    </w:p>
    <w:p w14:paraId="320B24FC" w14:textId="77777777" w:rsidR="00B46B96" w:rsidRPr="00B846AB" w:rsidRDefault="00B46B96" w:rsidP="00CA35D9">
      <w:pPr>
        <w:pStyle w:val="Number"/>
        <w:numPr>
          <w:ilvl w:val="0"/>
          <w:numId w:val="74"/>
        </w:numPr>
        <w:rPr>
          <w:sz w:val="24"/>
          <w:szCs w:val="24"/>
        </w:rPr>
      </w:pPr>
      <w:r w:rsidRPr="00B846AB">
        <w:rPr>
          <w:sz w:val="24"/>
          <w:szCs w:val="24"/>
        </w:rPr>
        <w:t>Leadership and Management</w:t>
      </w:r>
    </w:p>
    <w:p w14:paraId="7096A76B" w14:textId="77777777" w:rsidR="00B46B96" w:rsidRPr="00B846AB" w:rsidRDefault="00B46B96" w:rsidP="00CA35D9">
      <w:pPr>
        <w:pStyle w:val="Number"/>
        <w:rPr>
          <w:sz w:val="24"/>
          <w:szCs w:val="24"/>
        </w:rPr>
      </w:pPr>
      <w:r w:rsidRPr="00B846AB">
        <w:rPr>
          <w:sz w:val="24"/>
          <w:szCs w:val="24"/>
        </w:rPr>
        <w:t>Resources</w:t>
      </w:r>
    </w:p>
    <w:p w14:paraId="5EA1A5D6" w14:textId="77777777" w:rsidR="00B46B96" w:rsidRPr="00B846AB" w:rsidRDefault="00B46B96" w:rsidP="00CA35D9">
      <w:pPr>
        <w:pStyle w:val="Number"/>
        <w:rPr>
          <w:sz w:val="24"/>
          <w:szCs w:val="24"/>
        </w:rPr>
      </w:pPr>
      <w:r w:rsidRPr="00B846AB">
        <w:rPr>
          <w:sz w:val="24"/>
          <w:szCs w:val="24"/>
        </w:rPr>
        <w:t>Service Delivery</w:t>
      </w:r>
    </w:p>
    <w:p w14:paraId="7A63E738" w14:textId="77777777" w:rsidR="00B46B96" w:rsidRPr="00B846AB" w:rsidRDefault="00B46B96" w:rsidP="00CA35D9">
      <w:pPr>
        <w:pStyle w:val="Number"/>
        <w:rPr>
          <w:sz w:val="24"/>
          <w:szCs w:val="24"/>
        </w:rPr>
      </w:pPr>
      <w:r w:rsidRPr="00B846AB">
        <w:rPr>
          <w:sz w:val="24"/>
          <w:szCs w:val="24"/>
        </w:rPr>
        <w:t>Continuous Quality Improvement</w:t>
      </w:r>
    </w:p>
    <w:p w14:paraId="4118AE9C" w14:textId="4FACAA9A" w:rsidR="00EE0831" w:rsidRPr="00B846AB" w:rsidRDefault="00B46B96" w:rsidP="00B46B96">
      <w:pPr>
        <w:rPr>
          <w:rFonts w:cs="Arial"/>
          <w:sz w:val="24"/>
        </w:rPr>
      </w:pPr>
      <w:r w:rsidRPr="00B846AB">
        <w:rPr>
          <w:rFonts w:cs="Arial"/>
          <w:sz w:val="24"/>
        </w:rPr>
        <w:t xml:space="preserve">Each element contains assessment criteria, all of which must be met to achieve accreditation. The </w:t>
      </w:r>
      <w:r w:rsidR="00C70D99" w:rsidRPr="00B846AB">
        <w:rPr>
          <w:rFonts w:cs="Arial"/>
          <w:sz w:val="24"/>
        </w:rPr>
        <w:t>S</w:t>
      </w:r>
      <w:r w:rsidRPr="00B846AB">
        <w:rPr>
          <w:rFonts w:cs="Arial"/>
          <w:sz w:val="24"/>
        </w:rPr>
        <w:t xml:space="preserve">tandard along with guidance illustrates how the criteria can be applied in a range of settings. The </w:t>
      </w:r>
      <w:r w:rsidR="000B44CD" w:rsidRPr="00B846AB">
        <w:rPr>
          <w:rFonts w:cs="Arial"/>
          <w:sz w:val="24"/>
        </w:rPr>
        <w:t>S</w:t>
      </w:r>
      <w:r w:rsidRPr="00B846AB">
        <w:rPr>
          <w:rFonts w:cs="Arial"/>
          <w:sz w:val="24"/>
        </w:rPr>
        <w:t>tandard is flexible</w:t>
      </w:r>
      <w:r w:rsidR="00505C1C" w:rsidRPr="00B846AB">
        <w:rPr>
          <w:rFonts w:cs="Arial"/>
          <w:sz w:val="24"/>
        </w:rPr>
        <w:t xml:space="preserve"> and can be used in a variety of organisations</w:t>
      </w:r>
      <w:r w:rsidRPr="00B846AB">
        <w:rPr>
          <w:rFonts w:cs="Arial"/>
          <w:sz w:val="24"/>
        </w:rPr>
        <w:t>. It recognises that while some organisations focus exclusively on IAG provision</w:t>
      </w:r>
      <w:r w:rsidR="002C45AB" w:rsidRPr="00B846AB">
        <w:rPr>
          <w:rFonts w:cs="Arial"/>
          <w:sz w:val="24"/>
        </w:rPr>
        <w:t xml:space="preserve"> </w:t>
      </w:r>
      <w:r w:rsidR="00B63DDF" w:rsidRPr="00B846AB">
        <w:rPr>
          <w:rFonts w:cs="Arial"/>
          <w:sz w:val="24"/>
        </w:rPr>
        <w:t>(</w:t>
      </w:r>
      <w:r w:rsidR="002C45AB" w:rsidRPr="00B846AB">
        <w:rPr>
          <w:rFonts w:cs="Arial"/>
          <w:sz w:val="24"/>
        </w:rPr>
        <w:t>for example the National Careers Service</w:t>
      </w:r>
      <w:r w:rsidR="00B63DDF" w:rsidRPr="00B846AB">
        <w:rPr>
          <w:rFonts w:cs="Arial"/>
          <w:sz w:val="24"/>
        </w:rPr>
        <w:t>)</w:t>
      </w:r>
      <w:r w:rsidR="002C45AB" w:rsidRPr="00B846AB">
        <w:rPr>
          <w:rFonts w:cs="Arial"/>
          <w:sz w:val="24"/>
        </w:rPr>
        <w:t>,</w:t>
      </w:r>
      <w:r w:rsidRPr="00B846AB">
        <w:rPr>
          <w:rFonts w:cs="Arial"/>
          <w:sz w:val="24"/>
        </w:rPr>
        <w:t xml:space="preserve"> others offer IAG as an integral feature of other services such as education</w:t>
      </w:r>
      <w:r w:rsidR="00964DB0" w:rsidRPr="00B846AB">
        <w:rPr>
          <w:rFonts w:cs="Arial"/>
          <w:sz w:val="24"/>
        </w:rPr>
        <w:t xml:space="preserve"> and training organisations</w:t>
      </w:r>
      <w:r w:rsidR="00EE0831" w:rsidRPr="00B846AB">
        <w:rPr>
          <w:rFonts w:cs="Arial"/>
          <w:sz w:val="24"/>
        </w:rPr>
        <w:t>.</w:t>
      </w:r>
    </w:p>
    <w:p w14:paraId="4F507B56" w14:textId="77777777" w:rsidR="00B46B96" w:rsidRPr="00B846AB" w:rsidRDefault="00B46B96" w:rsidP="00B46B96">
      <w:pPr>
        <w:rPr>
          <w:rFonts w:cs="Arial"/>
          <w:sz w:val="24"/>
        </w:rPr>
      </w:pPr>
    </w:p>
    <w:p w14:paraId="46105AB7" w14:textId="21D47677" w:rsidR="00EE0819" w:rsidRPr="00B846AB" w:rsidRDefault="00B80104" w:rsidP="002217F7">
      <w:pPr>
        <w:rPr>
          <w:rFonts w:cs="Arial"/>
          <w:sz w:val="24"/>
        </w:rPr>
      </w:pPr>
      <w:r w:rsidRPr="00B846AB">
        <w:rPr>
          <w:rFonts w:cs="Arial"/>
          <w:sz w:val="24"/>
        </w:rPr>
        <w:t xml:space="preserve">Taking the feedback from </w:t>
      </w:r>
      <w:r w:rsidR="00DA3C1C" w:rsidRPr="00B846AB">
        <w:rPr>
          <w:rFonts w:cs="Arial"/>
          <w:sz w:val="24"/>
        </w:rPr>
        <w:t>both the</w:t>
      </w:r>
      <w:r w:rsidRPr="00B846AB">
        <w:rPr>
          <w:rFonts w:cs="Arial"/>
          <w:sz w:val="24"/>
        </w:rPr>
        <w:t xml:space="preserve"> literature review</w:t>
      </w:r>
      <w:r w:rsidR="00DA3C1C" w:rsidRPr="00B846AB">
        <w:rPr>
          <w:rFonts w:cs="Arial"/>
          <w:sz w:val="24"/>
        </w:rPr>
        <w:t xml:space="preserve"> and from the advisory group</w:t>
      </w:r>
      <w:r w:rsidR="00BF34CC" w:rsidRPr="00B846AB">
        <w:rPr>
          <w:rFonts w:cs="Arial"/>
          <w:sz w:val="24"/>
        </w:rPr>
        <w:t>,</w:t>
      </w:r>
      <w:r w:rsidR="00DA3C1C" w:rsidRPr="00B846AB">
        <w:rPr>
          <w:rFonts w:cs="Arial"/>
          <w:sz w:val="24"/>
        </w:rPr>
        <w:t xml:space="preserve"> the</w:t>
      </w:r>
      <w:r w:rsidR="00EE0819" w:rsidRPr="00B846AB">
        <w:rPr>
          <w:rFonts w:cs="Arial"/>
          <w:sz w:val="24"/>
        </w:rPr>
        <w:t xml:space="preserve"> key feedback was:</w:t>
      </w:r>
    </w:p>
    <w:p w14:paraId="623F93F5" w14:textId="465D90F6" w:rsidR="00E65C2E" w:rsidRPr="00B846AB" w:rsidRDefault="00EE0819" w:rsidP="00CA35D9">
      <w:pPr>
        <w:pStyle w:val="Bullet"/>
        <w:rPr>
          <w:sz w:val="24"/>
          <w:szCs w:val="24"/>
        </w:rPr>
      </w:pPr>
      <w:r w:rsidRPr="00B846AB">
        <w:rPr>
          <w:sz w:val="24"/>
          <w:szCs w:val="24"/>
        </w:rPr>
        <w:t xml:space="preserve">The </w:t>
      </w:r>
      <w:r w:rsidR="0024477E" w:rsidRPr="00B846AB">
        <w:rPr>
          <w:sz w:val="24"/>
          <w:szCs w:val="24"/>
        </w:rPr>
        <w:t xml:space="preserve">current </w:t>
      </w:r>
      <w:r w:rsidRPr="00B846AB">
        <w:rPr>
          <w:sz w:val="24"/>
          <w:szCs w:val="24"/>
        </w:rPr>
        <w:t xml:space="preserve">Standard </w:t>
      </w:r>
      <w:r w:rsidR="0024477E" w:rsidRPr="00B846AB">
        <w:rPr>
          <w:sz w:val="24"/>
          <w:szCs w:val="24"/>
        </w:rPr>
        <w:t>reflects good practice</w:t>
      </w:r>
      <w:r w:rsidR="000C221B" w:rsidRPr="00B846AB">
        <w:rPr>
          <w:sz w:val="24"/>
          <w:szCs w:val="24"/>
        </w:rPr>
        <w:t xml:space="preserve"> and much of it </w:t>
      </w:r>
      <w:r w:rsidR="001C3ABA" w:rsidRPr="00B846AB">
        <w:rPr>
          <w:sz w:val="24"/>
          <w:szCs w:val="24"/>
        </w:rPr>
        <w:t>c</w:t>
      </w:r>
      <w:r w:rsidR="00D8675B" w:rsidRPr="00B846AB">
        <w:rPr>
          <w:sz w:val="24"/>
          <w:szCs w:val="24"/>
        </w:rPr>
        <w:t>ould</w:t>
      </w:r>
      <w:r w:rsidR="001C3ABA" w:rsidRPr="00B846AB">
        <w:rPr>
          <w:sz w:val="24"/>
          <w:szCs w:val="24"/>
        </w:rPr>
        <w:t xml:space="preserve"> be transferred </w:t>
      </w:r>
      <w:r w:rsidR="009D2D88" w:rsidRPr="00B846AB">
        <w:rPr>
          <w:sz w:val="24"/>
          <w:szCs w:val="24"/>
        </w:rPr>
        <w:t>into the revised</w:t>
      </w:r>
      <w:r w:rsidR="00282490" w:rsidRPr="00B846AB">
        <w:rPr>
          <w:sz w:val="24"/>
          <w:szCs w:val="24"/>
        </w:rPr>
        <w:t xml:space="preserve"> Standard</w:t>
      </w:r>
      <w:r w:rsidR="007B14D4" w:rsidRPr="00B846AB">
        <w:rPr>
          <w:sz w:val="24"/>
          <w:szCs w:val="24"/>
        </w:rPr>
        <w:t>.</w:t>
      </w:r>
    </w:p>
    <w:p w14:paraId="2A9F6C62" w14:textId="2510C53F" w:rsidR="001C3ABA" w:rsidRPr="00B846AB" w:rsidRDefault="001C3ABA" w:rsidP="00CA35D9">
      <w:pPr>
        <w:pStyle w:val="Bullet"/>
        <w:rPr>
          <w:sz w:val="24"/>
          <w:szCs w:val="24"/>
        </w:rPr>
      </w:pPr>
      <w:r w:rsidRPr="00B846AB">
        <w:rPr>
          <w:sz w:val="24"/>
          <w:szCs w:val="24"/>
        </w:rPr>
        <w:t>The</w:t>
      </w:r>
      <w:r w:rsidR="00B267BE" w:rsidRPr="00B846AB">
        <w:rPr>
          <w:sz w:val="24"/>
          <w:szCs w:val="24"/>
        </w:rPr>
        <w:t xml:space="preserve"> Standard should</w:t>
      </w:r>
      <w:r w:rsidR="00282490" w:rsidRPr="00B846AB">
        <w:rPr>
          <w:sz w:val="24"/>
          <w:szCs w:val="24"/>
        </w:rPr>
        <w:t xml:space="preserve"> be</w:t>
      </w:r>
      <w:r w:rsidR="00F4423A" w:rsidRPr="00B846AB">
        <w:rPr>
          <w:sz w:val="24"/>
          <w:szCs w:val="24"/>
        </w:rPr>
        <w:t xml:space="preserve"> made</w:t>
      </w:r>
      <w:r w:rsidR="00B267BE" w:rsidRPr="00B846AB">
        <w:rPr>
          <w:sz w:val="24"/>
          <w:szCs w:val="24"/>
        </w:rPr>
        <w:t xml:space="preserve"> easier to navigate </w:t>
      </w:r>
      <w:r w:rsidR="00B40D28" w:rsidRPr="00B846AB">
        <w:rPr>
          <w:sz w:val="24"/>
          <w:szCs w:val="24"/>
        </w:rPr>
        <w:t>it terms of its structure</w:t>
      </w:r>
      <w:r w:rsidR="006243B5" w:rsidRPr="00B846AB">
        <w:rPr>
          <w:sz w:val="24"/>
          <w:szCs w:val="24"/>
        </w:rPr>
        <w:t xml:space="preserve"> and layout</w:t>
      </w:r>
      <w:r w:rsidR="00321C87" w:rsidRPr="00B846AB">
        <w:rPr>
          <w:sz w:val="24"/>
          <w:szCs w:val="24"/>
        </w:rPr>
        <w:t>.</w:t>
      </w:r>
    </w:p>
    <w:p w14:paraId="30F29849" w14:textId="34665490" w:rsidR="00B40D28" w:rsidRPr="00B846AB" w:rsidRDefault="00282490" w:rsidP="00CA35D9">
      <w:pPr>
        <w:pStyle w:val="Bullet"/>
        <w:rPr>
          <w:sz w:val="24"/>
          <w:szCs w:val="24"/>
        </w:rPr>
      </w:pPr>
      <w:r w:rsidRPr="00B846AB">
        <w:rPr>
          <w:sz w:val="24"/>
          <w:szCs w:val="24"/>
        </w:rPr>
        <w:t>It</w:t>
      </w:r>
      <w:r w:rsidR="00B40D28" w:rsidRPr="00B846AB">
        <w:rPr>
          <w:sz w:val="24"/>
          <w:szCs w:val="24"/>
        </w:rPr>
        <w:t xml:space="preserve"> should</w:t>
      </w:r>
      <w:r w:rsidR="009F4A94" w:rsidRPr="00B846AB">
        <w:rPr>
          <w:sz w:val="24"/>
          <w:szCs w:val="24"/>
        </w:rPr>
        <w:t xml:space="preserve"> </w:t>
      </w:r>
      <w:r w:rsidR="006243B5" w:rsidRPr="00B846AB">
        <w:rPr>
          <w:sz w:val="24"/>
          <w:szCs w:val="24"/>
        </w:rPr>
        <w:t>reflect</w:t>
      </w:r>
      <w:r w:rsidR="001804FB" w:rsidRPr="00B846AB">
        <w:rPr>
          <w:sz w:val="24"/>
          <w:szCs w:val="24"/>
        </w:rPr>
        <w:t xml:space="preserve"> both</w:t>
      </w:r>
      <w:r w:rsidR="006243B5" w:rsidRPr="00B846AB">
        <w:rPr>
          <w:sz w:val="24"/>
          <w:szCs w:val="24"/>
        </w:rPr>
        <w:t xml:space="preserve"> digital and hybrid delivery</w:t>
      </w:r>
      <w:r w:rsidR="007B14D4" w:rsidRPr="00B846AB">
        <w:rPr>
          <w:sz w:val="24"/>
          <w:szCs w:val="24"/>
        </w:rPr>
        <w:t>.</w:t>
      </w:r>
    </w:p>
    <w:p w14:paraId="02BF7162" w14:textId="28C5995F" w:rsidR="009B6610" w:rsidRPr="00B846AB" w:rsidRDefault="009B6610" w:rsidP="00CA35D9">
      <w:pPr>
        <w:pStyle w:val="Bullet"/>
        <w:rPr>
          <w:sz w:val="24"/>
          <w:szCs w:val="24"/>
        </w:rPr>
      </w:pPr>
      <w:r w:rsidRPr="00B846AB">
        <w:rPr>
          <w:sz w:val="24"/>
          <w:szCs w:val="24"/>
        </w:rPr>
        <w:t xml:space="preserve">The </w:t>
      </w:r>
      <w:r w:rsidR="00BF34CC" w:rsidRPr="00B846AB">
        <w:rPr>
          <w:sz w:val="24"/>
          <w:szCs w:val="24"/>
        </w:rPr>
        <w:t>S</w:t>
      </w:r>
      <w:r w:rsidRPr="00B846AB">
        <w:rPr>
          <w:sz w:val="24"/>
          <w:szCs w:val="24"/>
        </w:rPr>
        <w:t>tandard should be mo</w:t>
      </w:r>
      <w:r w:rsidR="00E93BF9" w:rsidRPr="00B846AB">
        <w:rPr>
          <w:sz w:val="24"/>
          <w:szCs w:val="24"/>
        </w:rPr>
        <w:t xml:space="preserve">dernised in areas to reflect changes in legislation such as </w:t>
      </w:r>
      <w:r w:rsidR="007D552E" w:rsidRPr="00B846AB">
        <w:rPr>
          <w:rFonts w:asciiTheme="minorHAnsi" w:eastAsiaTheme="majorEastAsia" w:hAnsiTheme="minorHAnsi" w:cstheme="minorBidi"/>
          <w:sz w:val="24"/>
          <w:szCs w:val="24"/>
        </w:rPr>
        <w:t>General Data Protection Regulation</w:t>
      </w:r>
      <w:r w:rsidR="007D552E" w:rsidRPr="00B846AB">
        <w:rPr>
          <w:sz w:val="24"/>
          <w:szCs w:val="24"/>
        </w:rPr>
        <w:t xml:space="preserve"> (</w:t>
      </w:r>
      <w:r w:rsidR="00E93BF9" w:rsidRPr="00B846AB">
        <w:rPr>
          <w:sz w:val="24"/>
          <w:szCs w:val="24"/>
        </w:rPr>
        <w:t>GDPR</w:t>
      </w:r>
      <w:r w:rsidR="007D552E" w:rsidRPr="00B846AB">
        <w:rPr>
          <w:sz w:val="24"/>
          <w:szCs w:val="24"/>
        </w:rPr>
        <w:t>)</w:t>
      </w:r>
      <w:r w:rsidR="00E93BF9" w:rsidRPr="00B846AB">
        <w:rPr>
          <w:sz w:val="24"/>
          <w:szCs w:val="24"/>
        </w:rPr>
        <w:t xml:space="preserve"> and societal changes such as an increased focus on wellbeing</w:t>
      </w:r>
      <w:r w:rsidR="00321C87" w:rsidRPr="00B846AB">
        <w:rPr>
          <w:sz w:val="24"/>
          <w:szCs w:val="24"/>
        </w:rPr>
        <w:t>.</w:t>
      </w:r>
    </w:p>
    <w:p w14:paraId="0AE33281" w14:textId="2E5C7F2D" w:rsidR="006243B5" w:rsidRPr="00B846AB" w:rsidRDefault="000B2634" w:rsidP="00CA35D9">
      <w:pPr>
        <w:pStyle w:val="Bullet"/>
        <w:rPr>
          <w:sz w:val="24"/>
          <w:szCs w:val="24"/>
        </w:rPr>
      </w:pPr>
      <w:r w:rsidRPr="00B846AB">
        <w:rPr>
          <w:sz w:val="24"/>
          <w:szCs w:val="24"/>
        </w:rPr>
        <w:t>Leadership should run through the whole Standard</w:t>
      </w:r>
      <w:r w:rsidR="004D5691" w:rsidRPr="00B846AB">
        <w:rPr>
          <w:sz w:val="24"/>
          <w:szCs w:val="24"/>
        </w:rPr>
        <w:t xml:space="preserve"> rather than be </w:t>
      </w:r>
      <w:r w:rsidR="00393FEE" w:rsidRPr="00B846AB">
        <w:rPr>
          <w:sz w:val="24"/>
          <w:szCs w:val="24"/>
        </w:rPr>
        <w:t>a separate element</w:t>
      </w:r>
      <w:r w:rsidR="001D7ABE" w:rsidRPr="00B846AB">
        <w:rPr>
          <w:sz w:val="24"/>
          <w:szCs w:val="24"/>
        </w:rPr>
        <w:t>.</w:t>
      </w:r>
    </w:p>
    <w:p w14:paraId="310E59B1" w14:textId="52A200C1" w:rsidR="00DE5D77" w:rsidRPr="00B846AB" w:rsidRDefault="001804FB" w:rsidP="00CA35D9">
      <w:pPr>
        <w:pStyle w:val="Bullet"/>
        <w:rPr>
          <w:sz w:val="24"/>
          <w:szCs w:val="24"/>
        </w:rPr>
      </w:pPr>
      <w:r w:rsidRPr="00B846AB">
        <w:rPr>
          <w:sz w:val="24"/>
          <w:szCs w:val="24"/>
        </w:rPr>
        <w:t xml:space="preserve">It should connect better with </w:t>
      </w:r>
      <w:r w:rsidR="007577AB" w:rsidRPr="00B846AB">
        <w:rPr>
          <w:sz w:val="24"/>
          <w:szCs w:val="24"/>
        </w:rPr>
        <w:t>other areas of</w:t>
      </w:r>
      <w:r w:rsidR="00C11680" w:rsidRPr="00B846AB">
        <w:rPr>
          <w:sz w:val="24"/>
          <w:szCs w:val="24"/>
        </w:rPr>
        <w:t xml:space="preserve"> policy such as </w:t>
      </w:r>
      <w:r w:rsidR="00EE3A89" w:rsidRPr="00B846AB">
        <w:rPr>
          <w:sz w:val="24"/>
          <w:szCs w:val="24"/>
        </w:rPr>
        <w:t xml:space="preserve">the </w:t>
      </w:r>
      <w:r w:rsidR="00C11680" w:rsidRPr="00B846AB">
        <w:rPr>
          <w:sz w:val="24"/>
          <w:szCs w:val="24"/>
        </w:rPr>
        <w:t>Ofsted</w:t>
      </w:r>
      <w:r w:rsidR="00EE3A89" w:rsidRPr="00B846AB">
        <w:rPr>
          <w:sz w:val="24"/>
          <w:szCs w:val="24"/>
        </w:rPr>
        <w:t xml:space="preserve"> </w:t>
      </w:r>
      <w:r w:rsidR="005E28F5" w:rsidRPr="00B846AB">
        <w:rPr>
          <w:sz w:val="24"/>
          <w:szCs w:val="24"/>
        </w:rPr>
        <w:t xml:space="preserve">Education </w:t>
      </w:r>
      <w:r w:rsidR="00EE3A89" w:rsidRPr="00B846AB">
        <w:rPr>
          <w:sz w:val="24"/>
          <w:szCs w:val="24"/>
        </w:rPr>
        <w:t>Inspection Framework</w:t>
      </w:r>
      <w:r w:rsidR="00C11680" w:rsidRPr="00B846AB">
        <w:rPr>
          <w:sz w:val="24"/>
          <w:szCs w:val="24"/>
        </w:rPr>
        <w:t xml:space="preserve"> and the Gatsby Benchmarks</w:t>
      </w:r>
      <w:r w:rsidR="0081075B" w:rsidRPr="00B846AB">
        <w:rPr>
          <w:sz w:val="24"/>
          <w:szCs w:val="24"/>
        </w:rPr>
        <w:t>.</w:t>
      </w:r>
    </w:p>
    <w:p w14:paraId="1504EE2C" w14:textId="505B7449" w:rsidR="00BE49C2" w:rsidRPr="00C36FBC" w:rsidRDefault="00BE49C2" w:rsidP="000B550F">
      <w:pPr>
        <w:pStyle w:val="Heading2"/>
      </w:pPr>
      <w:r w:rsidRPr="00C36FBC">
        <w:t xml:space="preserve">Changes </w:t>
      </w:r>
      <w:r w:rsidR="000B550F">
        <w:t xml:space="preserve">in the </w:t>
      </w:r>
      <w:r w:rsidRPr="00C36FBC">
        <w:t>Alpha Version</w:t>
      </w:r>
    </w:p>
    <w:p w14:paraId="04CDDC1D" w14:textId="0B98C718" w:rsidR="007A5087" w:rsidRDefault="00246406" w:rsidP="002217F7">
      <w:pPr>
        <w:rPr>
          <w:rFonts w:cs="Arial"/>
          <w:sz w:val="24"/>
        </w:rPr>
      </w:pPr>
      <w:r w:rsidRPr="00B846AB">
        <w:rPr>
          <w:rFonts w:cs="Arial"/>
          <w:sz w:val="24"/>
        </w:rPr>
        <w:t xml:space="preserve">The </w:t>
      </w:r>
      <w:r w:rsidR="00BF34CC" w:rsidRPr="00B846AB">
        <w:rPr>
          <w:rFonts w:cs="Arial"/>
          <w:sz w:val="24"/>
        </w:rPr>
        <w:t>four</w:t>
      </w:r>
      <w:r w:rsidR="0095245E" w:rsidRPr="00B846AB">
        <w:rPr>
          <w:rFonts w:cs="Arial"/>
          <w:sz w:val="24"/>
        </w:rPr>
        <w:t xml:space="preserve"> elements </w:t>
      </w:r>
      <w:r w:rsidRPr="00B846AB">
        <w:rPr>
          <w:rFonts w:cs="Arial"/>
          <w:sz w:val="24"/>
        </w:rPr>
        <w:t xml:space="preserve">of the </w:t>
      </w:r>
      <w:r w:rsidR="00D679F6" w:rsidRPr="00B846AB">
        <w:rPr>
          <w:rFonts w:cs="Arial"/>
          <w:sz w:val="24"/>
        </w:rPr>
        <w:t xml:space="preserve">current </w:t>
      </w:r>
      <w:r w:rsidRPr="00B846AB">
        <w:rPr>
          <w:rFonts w:cs="Arial"/>
          <w:sz w:val="24"/>
        </w:rPr>
        <w:t xml:space="preserve">Standard </w:t>
      </w:r>
      <w:r w:rsidR="001B7CEE" w:rsidRPr="00B846AB">
        <w:rPr>
          <w:rFonts w:cs="Arial"/>
          <w:sz w:val="24"/>
        </w:rPr>
        <w:t xml:space="preserve">above </w:t>
      </w:r>
      <w:r w:rsidR="00023123" w:rsidRPr="00B846AB">
        <w:rPr>
          <w:rFonts w:cs="Arial"/>
          <w:sz w:val="24"/>
        </w:rPr>
        <w:t xml:space="preserve">were </w:t>
      </w:r>
      <w:r w:rsidR="004F5C42" w:rsidRPr="00B846AB">
        <w:rPr>
          <w:rFonts w:cs="Arial"/>
          <w:sz w:val="24"/>
        </w:rPr>
        <w:t xml:space="preserve">redesigned into </w:t>
      </w:r>
      <w:r w:rsidR="00BF34CC" w:rsidRPr="00B846AB">
        <w:rPr>
          <w:rFonts w:cs="Arial"/>
          <w:sz w:val="24"/>
        </w:rPr>
        <w:t>seven</w:t>
      </w:r>
      <w:r w:rsidR="00D679F6" w:rsidRPr="00B846AB">
        <w:rPr>
          <w:rFonts w:cs="Arial"/>
          <w:sz w:val="24"/>
        </w:rPr>
        <w:t xml:space="preserve"> </w:t>
      </w:r>
      <w:r w:rsidR="00974032" w:rsidRPr="00B846AB">
        <w:rPr>
          <w:rFonts w:cs="Arial"/>
          <w:sz w:val="24"/>
        </w:rPr>
        <w:t>e</w:t>
      </w:r>
      <w:r w:rsidR="00D679F6" w:rsidRPr="00B846AB">
        <w:rPr>
          <w:rFonts w:cs="Arial"/>
          <w:sz w:val="24"/>
        </w:rPr>
        <w:t xml:space="preserve">lements. These </w:t>
      </w:r>
      <w:proofErr w:type="gramStart"/>
      <w:r w:rsidR="006A21DE" w:rsidRPr="00B846AB">
        <w:rPr>
          <w:rFonts w:cs="Arial"/>
          <w:sz w:val="24"/>
        </w:rPr>
        <w:t>became</w:t>
      </w:r>
      <w:r w:rsidR="00744C91" w:rsidRPr="00B846AB">
        <w:rPr>
          <w:rFonts w:cs="Arial"/>
          <w:sz w:val="24"/>
        </w:rPr>
        <w:t>;</w:t>
      </w:r>
      <w:proofErr w:type="gramEnd"/>
    </w:p>
    <w:p w14:paraId="676A518A" w14:textId="77777777" w:rsidR="00AB1659" w:rsidRPr="00B846AB" w:rsidRDefault="00AB1659" w:rsidP="002217F7">
      <w:pPr>
        <w:rPr>
          <w:rFonts w:cs="Arial"/>
          <w:sz w:val="24"/>
        </w:rPr>
      </w:pPr>
    </w:p>
    <w:p w14:paraId="18582696" w14:textId="58F64839" w:rsidR="007A5087" w:rsidRPr="00B846AB" w:rsidRDefault="002B7F81" w:rsidP="00CA35D9">
      <w:pPr>
        <w:pStyle w:val="Number"/>
        <w:numPr>
          <w:ilvl w:val="0"/>
          <w:numId w:val="75"/>
        </w:numPr>
        <w:rPr>
          <w:sz w:val="24"/>
          <w:szCs w:val="24"/>
        </w:rPr>
      </w:pPr>
      <w:r w:rsidRPr="00B846AB">
        <w:rPr>
          <w:sz w:val="24"/>
          <w:szCs w:val="24"/>
        </w:rPr>
        <w:t>Context</w:t>
      </w:r>
    </w:p>
    <w:p w14:paraId="08CD0629" w14:textId="77777777" w:rsidR="007A5087" w:rsidRPr="00B846AB" w:rsidRDefault="007A5087" w:rsidP="00CA35D9">
      <w:pPr>
        <w:pStyle w:val="Number"/>
        <w:rPr>
          <w:sz w:val="24"/>
          <w:szCs w:val="24"/>
        </w:rPr>
      </w:pPr>
      <w:r w:rsidRPr="00B846AB">
        <w:rPr>
          <w:sz w:val="24"/>
          <w:szCs w:val="24"/>
        </w:rPr>
        <w:t>Resources</w:t>
      </w:r>
    </w:p>
    <w:p w14:paraId="3C72192E" w14:textId="77777777" w:rsidR="007A5087" w:rsidRPr="00B846AB" w:rsidRDefault="007A5087" w:rsidP="00CA35D9">
      <w:pPr>
        <w:pStyle w:val="Number"/>
        <w:rPr>
          <w:sz w:val="24"/>
          <w:szCs w:val="24"/>
        </w:rPr>
      </w:pPr>
      <w:r w:rsidRPr="00B846AB">
        <w:rPr>
          <w:sz w:val="24"/>
          <w:szCs w:val="24"/>
        </w:rPr>
        <w:t>Offer</w:t>
      </w:r>
    </w:p>
    <w:p w14:paraId="003CBBBA" w14:textId="77777777" w:rsidR="007A5087" w:rsidRPr="00B846AB" w:rsidRDefault="007A5087" w:rsidP="00CA35D9">
      <w:pPr>
        <w:pStyle w:val="Number"/>
        <w:rPr>
          <w:sz w:val="24"/>
          <w:szCs w:val="24"/>
        </w:rPr>
      </w:pPr>
      <w:r w:rsidRPr="00B846AB">
        <w:rPr>
          <w:sz w:val="24"/>
          <w:szCs w:val="24"/>
        </w:rPr>
        <w:t>Delivery</w:t>
      </w:r>
    </w:p>
    <w:p w14:paraId="34FA8305" w14:textId="77777777" w:rsidR="007A5087" w:rsidRPr="00B846AB" w:rsidRDefault="007A5087" w:rsidP="00CA35D9">
      <w:pPr>
        <w:pStyle w:val="Number"/>
        <w:rPr>
          <w:sz w:val="24"/>
          <w:szCs w:val="24"/>
        </w:rPr>
      </w:pPr>
      <w:r w:rsidRPr="00B846AB">
        <w:rPr>
          <w:sz w:val="24"/>
          <w:szCs w:val="24"/>
        </w:rPr>
        <w:t>Outcomes</w:t>
      </w:r>
    </w:p>
    <w:p w14:paraId="0981365B" w14:textId="77777777" w:rsidR="007A5087" w:rsidRPr="00B846AB" w:rsidRDefault="007A5087" w:rsidP="00CA35D9">
      <w:pPr>
        <w:pStyle w:val="Number"/>
        <w:rPr>
          <w:sz w:val="24"/>
          <w:szCs w:val="24"/>
        </w:rPr>
      </w:pPr>
      <w:r w:rsidRPr="00B846AB">
        <w:rPr>
          <w:sz w:val="24"/>
          <w:szCs w:val="24"/>
        </w:rPr>
        <w:t>Impact</w:t>
      </w:r>
    </w:p>
    <w:p w14:paraId="256BF73B" w14:textId="79C95530" w:rsidR="000B550F" w:rsidRPr="00B846AB" w:rsidRDefault="007A5087" w:rsidP="00CA35D9">
      <w:pPr>
        <w:pStyle w:val="Number"/>
        <w:rPr>
          <w:sz w:val="24"/>
          <w:szCs w:val="24"/>
        </w:rPr>
      </w:pPr>
      <w:r w:rsidRPr="00B846AB">
        <w:rPr>
          <w:sz w:val="24"/>
          <w:szCs w:val="24"/>
        </w:rPr>
        <w:t>Continuous Improvement</w:t>
      </w:r>
    </w:p>
    <w:p w14:paraId="6AEF7202" w14:textId="50441098" w:rsidR="00EE0831" w:rsidRPr="00B846AB" w:rsidRDefault="00BA4B00" w:rsidP="00CA35D9">
      <w:pPr>
        <w:pStyle w:val="Bullet"/>
        <w:rPr>
          <w:sz w:val="24"/>
          <w:szCs w:val="24"/>
        </w:rPr>
      </w:pPr>
      <w:r w:rsidRPr="00B846AB">
        <w:rPr>
          <w:sz w:val="24"/>
          <w:szCs w:val="24"/>
        </w:rPr>
        <w:t>The new logical flow</w:t>
      </w:r>
      <w:r w:rsidR="001B7CEE" w:rsidRPr="00B846AB">
        <w:rPr>
          <w:sz w:val="24"/>
          <w:szCs w:val="24"/>
        </w:rPr>
        <w:t xml:space="preserve"> </w:t>
      </w:r>
      <w:r w:rsidR="00937216" w:rsidRPr="00B846AB">
        <w:rPr>
          <w:sz w:val="24"/>
          <w:szCs w:val="24"/>
        </w:rPr>
        <w:t xml:space="preserve">of the elements </w:t>
      </w:r>
      <w:r w:rsidR="001B7CEE" w:rsidRPr="00B846AB">
        <w:rPr>
          <w:sz w:val="24"/>
          <w:szCs w:val="24"/>
        </w:rPr>
        <w:t>1 - 7</w:t>
      </w:r>
      <w:r w:rsidRPr="00B846AB">
        <w:rPr>
          <w:sz w:val="24"/>
          <w:szCs w:val="24"/>
        </w:rPr>
        <w:t xml:space="preserve"> </w:t>
      </w:r>
      <w:r w:rsidR="00393FEE" w:rsidRPr="00B846AB">
        <w:rPr>
          <w:sz w:val="24"/>
          <w:szCs w:val="24"/>
        </w:rPr>
        <w:t xml:space="preserve">above </w:t>
      </w:r>
      <w:r w:rsidRPr="00B846AB">
        <w:rPr>
          <w:sz w:val="24"/>
          <w:szCs w:val="24"/>
        </w:rPr>
        <w:t>reflect</w:t>
      </w:r>
      <w:r w:rsidR="004F0172" w:rsidRPr="00B846AB">
        <w:rPr>
          <w:sz w:val="24"/>
          <w:szCs w:val="24"/>
        </w:rPr>
        <w:t>s</w:t>
      </w:r>
      <w:r w:rsidRPr="00B846AB">
        <w:rPr>
          <w:sz w:val="24"/>
          <w:szCs w:val="24"/>
        </w:rPr>
        <w:t xml:space="preserve"> a </w:t>
      </w:r>
      <w:r w:rsidR="000A5A7E" w:rsidRPr="00B846AB">
        <w:rPr>
          <w:sz w:val="24"/>
          <w:szCs w:val="24"/>
        </w:rPr>
        <w:t>continuous improvement cycle</w:t>
      </w:r>
      <w:r w:rsidRPr="00B846AB">
        <w:rPr>
          <w:sz w:val="24"/>
          <w:szCs w:val="24"/>
        </w:rPr>
        <w:t xml:space="preserve"> </w:t>
      </w:r>
      <w:r w:rsidR="006D057E" w:rsidRPr="00B846AB">
        <w:rPr>
          <w:sz w:val="24"/>
          <w:szCs w:val="24"/>
        </w:rPr>
        <w:t xml:space="preserve">which repeats this is </w:t>
      </w:r>
      <w:r w:rsidRPr="00B846AB">
        <w:rPr>
          <w:sz w:val="24"/>
          <w:szCs w:val="24"/>
        </w:rPr>
        <w:t xml:space="preserve">in keeping with other quality frameworks including the Ofsted </w:t>
      </w:r>
      <w:r w:rsidR="005E28F5" w:rsidRPr="00B846AB">
        <w:rPr>
          <w:sz w:val="24"/>
          <w:szCs w:val="24"/>
        </w:rPr>
        <w:t xml:space="preserve">Education </w:t>
      </w:r>
      <w:r w:rsidRPr="00B846AB">
        <w:rPr>
          <w:sz w:val="24"/>
          <w:szCs w:val="24"/>
        </w:rPr>
        <w:t>Inspection Framework</w:t>
      </w:r>
      <w:r w:rsidR="00742514" w:rsidRPr="00B846AB">
        <w:rPr>
          <w:sz w:val="24"/>
          <w:szCs w:val="24"/>
        </w:rPr>
        <w:t xml:space="preserve">. This made aligning the touchpoints with </w:t>
      </w:r>
      <w:r w:rsidR="00270145" w:rsidRPr="00B846AB">
        <w:rPr>
          <w:sz w:val="24"/>
          <w:szCs w:val="24"/>
        </w:rPr>
        <w:t xml:space="preserve">Ofsted easier and </w:t>
      </w:r>
      <w:r w:rsidR="00667011" w:rsidRPr="00B846AB">
        <w:rPr>
          <w:sz w:val="24"/>
          <w:szCs w:val="24"/>
        </w:rPr>
        <w:t xml:space="preserve">more straight forward for organisations as </w:t>
      </w:r>
      <w:r w:rsidR="00C274A8" w:rsidRPr="00B846AB">
        <w:rPr>
          <w:sz w:val="24"/>
          <w:szCs w:val="24"/>
        </w:rPr>
        <w:t>it reads across to</w:t>
      </w:r>
      <w:r w:rsidR="00924BE1" w:rsidRPr="00B846AB">
        <w:rPr>
          <w:sz w:val="24"/>
          <w:szCs w:val="24"/>
        </w:rPr>
        <w:t xml:space="preserve"> the </w:t>
      </w:r>
      <w:bookmarkStart w:id="33" w:name="_Hlk119661143"/>
      <w:r w:rsidR="008F1E1E" w:rsidRPr="00B846AB">
        <w:rPr>
          <w:sz w:val="24"/>
          <w:szCs w:val="24"/>
        </w:rPr>
        <w:t xml:space="preserve">Ofsted </w:t>
      </w:r>
      <w:r w:rsidR="00BF34CC" w:rsidRPr="00B846AB">
        <w:rPr>
          <w:sz w:val="24"/>
          <w:szCs w:val="24"/>
        </w:rPr>
        <w:t>“</w:t>
      </w:r>
      <w:r w:rsidR="008F1E1E" w:rsidRPr="00B846AB">
        <w:rPr>
          <w:sz w:val="24"/>
          <w:szCs w:val="24"/>
        </w:rPr>
        <w:t>3Is</w:t>
      </w:r>
      <w:r w:rsidR="00BF34CC" w:rsidRPr="00B846AB">
        <w:rPr>
          <w:sz w:val="24"/>
          <w:szCs w:val="24"/>
        </w:rPr>
        <w:t>”</w:t>
      </w:r>
      <w:r w:rsidR="008F1E1E" w:rsidRPr="00B846AB">
        <w:rPr>
          <w:sz w:val="24"/>
          <w:szCs w:val="24"/>
        </w:rPr>
        <w:t xml:space="preserve"> </w:t>
      </w:r>
      <w:bookmarkEnd w:id="33"/>
      <w:r w:rsidR="008F1E1E" w:rsidRPr="00B846AB">
        <w:rPr>
          <w:sz w:val="24"/>
          <w:szCs w:val="24"/>
        </w:rPr>
        <w:t>of “Intent, Implementation and Impact”</w:t>
      </w:r>
      <w:r w:rsidR="00EE0831" w:rsidRPr="00B846AB">
        <w:rPr>
          <w:sz w:val="24"/>
          <w:szCs w:val="24"/>
        </w:rPr>
        <w:t>.</w:t>
      </w:r>
    </w:p>
    <w:p w14:paraId="7EF5A0AC" w14:textId="3F8A7116" w:rsidR="00EE0831" w:rsidRPr="00B846AB" w:rsidRDefault="00F5754C" w:rsidP="00CA35D9">
      <w:pPr>
        <w:pStyle w:val="Bullet"/>
        <w:rPr>
          <w:sz w:val="24"/>
          <w:szCs w:val="24"/>
        </w:rPr>
      </w:pPr>
      <w:r w:rsidRPr="00B846AB">
        <w:rPr>
          <w:sz w:val="24"/>
          <w:szCs w:val="24"/>
        </w:rPr>
        <w:lastRenderedPageBreak/>
        <w:t>Best practice</w:t>
      </w:r>
      <w:r w:rsidR="00BB4E24" w:rsidRPr="00B846AB">
        <w:rPr>
          <w:sz w:val="24"/>
          <w:szCs w:val="24"/>
        </w:rPr>
        <w:t xml:space="preserve"> from the current version of the Standard was transferred into the </w:t>
      </w:r>
      <w:r w:rsidR="00857A89" w:rsidRPr="00B846AB">
        <w:rPr>
          <w:sz w:val="24"/>
          <w:szCs w:val="24"/>
        </w:rPr>
        <w:t>revised</w:t>
      </w:r>
      <w:r w:rsidR="00BB4E24" w:rsidRPr="00B846AB">
        <w:rPr>
          <w:sz w:val="24"/>
          <w:szCs w:val="24"/>
        </w:rPr>
        <w:t xml:space="preserve"> version</w:t>
      </w:r>
      <w:r w:rsidR="00EE0831" w:rsidRPr="00B846AB">
        <w:rPr>
          <w:sz w:val="24"/>
          <w:szCs w:val="24"/>
        </w:rPr>
        <w:t>.</w:t>
      </w:r>
    </w:p>
    <w:p w14:paraId="3021E0B2" w14:textId="2AEC3EEC" w:rsidR="00EE0831" w:rsidRPr="00B846AB" w:rsidRDefault="00A5655B" w:rsidP="00CA35D9">
      <w:pPr>
        <w:pStyle w:val="Bullet"/>
        <w:rPr>
          <w:sz w:val="24"/>
          <w:szCs w:val="24"/>
        </w:rPr>
      </w:pPr>
      <w:r w:rsidRPr="00B846AB">
        <w:rPr>
          <w:sz w:val="24"/>
          <w:szCs w:val="24"/>
        </w:rPr>
        <w:t>Three</w:t>
      </w:r>
      <w:r w:rsidR="008C6880" w:rsidRPr="00B846AB">
        <w:rPr>
          <w:sz w:val="24"/>
          <w:szCs w:val="24"/>
        </w:rPr>
        <w:t xml:space="preserve"> </w:t>
      </w:r>
      <w:r w:rsidR="00040614" w:rsidRPr="00B846AB">
        <w:rPr>
          <w:sz w:val="24"/>
          <w:szCs w:val="24"/>
        </w:rPr>
        <w:t xml:space="preserve">current </w:t>
      </w:r>
      <w:r w:rsidRPr="00B846AB">
        <w:rPr>
          <w:sz w:val="24"/>
          <w:szCs w:val="24"/>
        </w:rPr>
        <w:t>elements transferred across</w:t>
      </w:r>
      <w:r w:rsidR="005F100F" w:rsidRPr="00B846AB">
        <w:rPr>
          <w:sz w:val="24"/>
          <w:szCs w:val="24"/>
        </w:rPr>
        <w:t xml:space="preserve"> to the revised </w:t>
      </w:r>
      <w:r w:rsidR="00DE620F" w:rsidRPr="00B846AB">
        <w:rPr>
          <w:sz w:val="24"/>
          <w:szCs w:val="24"/>
        </w:rPr>
        <w:t>S</w:t>
      </w:r>
      <w:r w:rsidR="005F100F" w:rsidRPr="00B846AB">
        <w:rPr>
          <w:sz w:val="24"/>
          <w:szCs w:val="24"/>
        </w:rPr>
        <w:t>tandard,</w:t>
      </w:r>
      <w:r w:rsidR="007679DC" w:rsidRPr="00B846AB">
        <w:rPr>
          <w:sz w:val="24"/>
          <w:szCs w:val="24"/>
        </w:rPr>
        <w:t xml:space="preserve"> namely </w:t>
      </w:r>
      <w:r w:rsidR="00A16A2A" w:rsidRPr="00B846AB">
        <w:rPr>
          <w:sz w:val="24"/>
          <w:szCs w:val="24"/>
        </w:rPr>
        <w:t xml:space="preserve">resources, service delivery and continuous quality </w:t>
      </w:r>
      <w:r w:rsidR="00BF34CC" w:rsidRPr="00B846AB">
        <w:rPr>
          <w:sz w:val="24"/>
          <w:szCs w:val="24"/>
        </w:rPr>
        <w:t>improvement</w:t>
      </w:r>
      <w:r w:rsidR="00EE0831" w:rsidRPr="00B846AB">
        <w:rPr>
          <w:sz w:val="24"/>
          <w:szCs w:val="24"/>
        </w:rPr>
        <w:t>.</w:t>
      </w:r>
    </w:p>
    <w:p w14:paraId="1EB5CA08" w14:textId="3DE71433" w:rsidR="00EE0831" w:rsidRPr="00B846AB" w:rsidRDefault="00BF34CC" w:rsidP="00CA35D9">
      <w:pPr>
        <w:pStyle w:val="Bullet"/>
        <w:rPr>
          <w:sz w:val="24"/>
          <w:szCs w:val="24"/>
        </w:rPr>
      </w:pPr>
      <w:r w:rsidRPr="00B846AB">
        <w:rPr>
          <w:sz w:val="24"/>
          <w:szCs w:val="24"/>
        </w:rPr>
        <w:t>The</w:t>
      </w:r>
      <w:r w:rsidR="00B76A76" w:rsidRPr="00B846AB">
        <w:rPr>
          <w:sz w:val="24"/>
          <w:szCs w:val="24"/>
        </w:rPr>
        <w:t xml:space="preserve"> remaining</w:t>
      </w:r>
      <w:r w:rsidR="00A5655B" w:rsidRPr="00B846AB">
        <w:rPr>
          <w:sz w:val="24"/>
          <w:szCs w:val="24"/>
        </w:rPr>
        <w:t xml:space="preserve"> leadership and management </w:t>
      </w:r>
      <w:r w:rsidR="00B76A76" w:rsidRPr="00B846AB">
        <w:rPr>
          <w:sz w:val="24"/>
          <w:szCs w:val="24"/>
        </w:rPr>
        <w:t>element</w:t>
      </w:r>
      <w:r w:rsidR="00DE479A" w:rsidRPr="00B846AB">
        <w:rPr>
          <w:sz w:val="24"/>
          <w:szCs w:val="24"/>
        </w:rPr>
        <w:t xml:space="preserve"> </w:t>
      </w:r>
      <w:r w:rsidR="002B478A" w:rsidRPr="00B846AB">
        <w:rPr>
          <w:sz w:val="24"/>
          <w:szCs w:val="24"/>
        </w:rPr>
        <w:t>h</w:t>
      </w:r>
      <w:r w:rsidR="00020753" w:rsidRPr="00B846AB">
        <w:rPr>
          <w:sz w:val="24"/>
          <w:szCs w:val="24"/>
        </w:rPr>
        <w:t>as</w:t>
      </w:r>
      <w:r w:rsidR="002B478A" w:rsidRPr="00B846AB">
        <w:rPr>
          <w:sz w:val="24"/>
          <w:szCs w:val="24"/>
        </w:rPr>
        <w:t xml:space="preserve"> been</w:t>
      </w:r>
      <w:r w:rsidR="00020753" w:rsidRPr="00B846AB">
        <w:rPr>
          <w:sz w:val="24"/>
          <w:szCs w:val="24"/>
        </w:rPr>
        <w:t xml:space="preserve"> embedded in the whole structure</w:t>
      </w:r>
      <w:r w:rsidR="00D862D7" w:rsidRPr="00B846AB">
        <w:rPr>
          <w:sz w:val="24"/>
          <w:szCs w:val="24"/>
        </w:rPr>
        <w:t xml:space="preserve"> as it is </w:t>
      </w:r>
      <w:r w:rsidR="002D528D" w:rsidRPr="00B846AB">
        <w:rPr>
          <w:sz w:val="24"/>
          <w:szCs w:val="24"/>
        </w:rPr>
        <w:t>important at every stage</w:t>
      </w:r>
      <w:r w:rsidR="00EE0831" w:rsidRPr="00B846AB">
        <w:rPr>
          <w:sz w:val="24"/>
          <w:szCs w:val="24"/>
        </w:rPr>
        <w:t>.</w:t>
      </w:r>
    </w:p>
    <w:p w14:paraId="3F1465AE" w14:textId="75238E00" w:rsidR="00EE0831" w:rsidRPr="00B846AB" w:rsidRDefault="006A3B46">
      <w:pPr>
        <w:pStyle w:val="Bullet"/>
        <w:rPr>
          <w:sz w:val="24"/>
          <w:szCs w:val="24"/>
        </w:rPr>
      </w:pPr>
      <w:r w:rsidRPr="00B846AB">
        <w:rPr>
          <w:sz w:val="24"/>
          <w:szCs w:val="24"/>
        </w:rPr>
        <w:t>From the current Standard</w:t>
      </w:r>
      <w:r w:rsidR="000311C7" w:rsidRPr="00B846AB">
        <w:rPr>
          <w:sz w:val="24"/>
          <w:szCs w:val="24"/>
        </w:rPr>
        <w:t xml:space="preserve"> </w:t>
      </w:r>
      <w:r w:rsidR="00744C91" w:rsidRPr="00B846AB">
        <w:rPr>
          <w:sz w:val="24"/>
          <w:szCs w:val="24"/>
        </w:rPr>
        <w:t xml:space="preserve">eleven </w:t>
      </w:r>
      <w:r w:rsidR="008F4294" w:rsidRPr="00B846AB">
        <w:rPr>
          <w:sz w:val="24"/>
          <w:szCs w:val="24"/>
        </w:rPr>
        <w:t xml:space="preserve">of the </w:t>
      </w:r>
      <w:r w:rsidR="00594CF8" w:rsidRPr="00B846AB">
        <w:rPr>
          <w:sz w:val="24"/>
          <w:szCs w:val="24"/>
        </w:rPr>
        <w:t xml:space="preserve">supporting </w:t>
      </w:r>
      <w:r w:rsidR="008F4294" w:rsidRPr="00B846AB">
        <w:rPr>
          <w:sz w:val="24"/>
          <w:szCs w:val="24"/>
        </w:rPr>
        <w:t xml:space="preserve">criteria </w:t>
      </w:r>
      <w:r w:rsidR="007879B8" w:rsidRPr="00B846AB">
        <w:rPr>
          <w:sz w:val="24"/>
          <w:szCs w:val="24"/>
        </w:rPr>
        <w:t>transferred directly across</w:t>
      </w:r>
      <w:r w:rsidR="00517ADA" w:rsidRPr="00B846AB">
        <w:rPr>
          <w:sz w:val="24"/>
          <w:szCs w:val="24"/>
        </w:rPr>
        <w:t xml:space="preserve"> and </w:t>
      </w:r>
      <w:r w:rsidR="00744C91" w:rsidRPr="00B846AB">
        <w:rPr>
          <w:sz w:val="24"/>
          <w:szCs w:val="24"/>
        </w:rPr>
        <w:t xml:space="preserve">eleven </w:t>
      </w:r>
      <w:r w:rsidR="0043299A" w:rsidRPr="00B846AB">
        <w:rPr>
          <w:sz w:val="24"/>
          <w:szCs w:val="24"/>
        </w:rPr>
        <w:t>criteria were con</w:t>
      </w:r>
      <w:r w:rsidR="009D326B" w:rsidRPr="00B846AB">
        <w:rPr>
          <w:sz w:val="24"/>
          <w:szCs w:val="24"/>
        </w:rPr>
        <w:t>solidated</w:t>
      </w:r>
      <w:r w:rsidR="008C4B24" w:rsidRPr="00B846AB">
        <w:rPr>
          <w:sz w:val="24"/>
          <w:szCs w:val="24"/>
        </w:rPr>
        <w:t>.</w:t>
      </w:r>
      <w:r w:rsidR="004D409B" w:rsidRPr="00B846AB">
        <w:rPr>
          <w:sz w:val="24"/>
          <w:szCs w:val="24"/>
        </w:rPr>
        <w:t xml:space="preserve"> </w:t>
      </w:r>
      <w:r w:rsidR="007B1A78" w:rsidRPr="00B846AB">
        <w:rPr>
          <w:sz w:val="24"/>
          <w:szCs w:val="24"/>
        </w:rPr>
        <w:t>For</w:t>
      </w:r>
      <w:r w:rsidR="0080214A" w:rsidRPr="00B846AB">
        <w:rPr>
          <w:sz w:val="24"/>
          <w:szCs w:val="24"/>
        </w:rPr>
        <w:t xml:space="preserve"> example,</w:t>
      </w:r>
      <w:r w:rsidR="00D414E3" w:rsidRPr="00B846AB">
        <w:rPr>
          <w:sz w:val="24"/>
          <w:szCs w:val="24"/>
        </w:rPr>
        <w:t xml:space="preserve"> </w:t>
      </w:r>
      <w:r w:rsidR="004042C5" w:rsidRPr="00B846AB">
        <w:rPr>
          <w:sz w:val="24"/>
          <w:szCs w:val="24"/>
        </w:rPr>
        <w:t>the previous</w:t>
      </w:r>
      <w:r w:rsidR="00D414E3" w:rsidRPr="00B846AB">
        <w:rPr>
          <w:sz w:val="24"/>
          <w:szCs w:val="24"/>
        </w:rPr>
        <w:t xml:space="preserve"> </w:t>
      </w:r>
      <w:r w:rsidR="00337025" w:rsidRPr="00B846AB">
        <w:rPr>
          <w:sz w:val="24"/>
          <w:szCs w:val="24"/>
        </w:rPr>
        <w:t>criterion</w:t>
      </w:r>
      <w:r w:rsidR="00D414E3" w:rsidRPr="00B846AB">
        <w:rPr>
          <w:sz w:val="24"/>
          <w:szCs w:val="24"/>
        </w:rPr>
        <w:t xml:space="preserve"> 1.1 require</w:t>
      </w:r>
      <w:r w:rsidR="008D036D" w:rsidRPr="00B846AB">
        <w:rPr>
          <w:sz w:val="24"/>
          <w:szCs w:val="24"/>
        </w:rPr>
        <w:t>d</w:t>
      </w:r>
      <w:r w:rsidR="00D414E3" w:rsidRPr="00B846AB">
        <w:rPr>
          <w:sz w:val="24"/>
          <w:szCs w:val="24"/>
        </w:rPr>
        <w:t xml:space="preserve"> the service to have aims and objectives and 1.2 require</w:t>
      </w:r>
      <w:r w:rsidR="00441A76" w:rsidRPr="00B846AB">
        <w:rPr>
          <w:sz w:val="24"/>
          <w:szCs w:val="24"/>
        </w:rPr>
        <w:t>d</w:t>
      </w:r>
      <w:r w:rsidR="00D414E3" w:rsidRPr="00B846AB">
        <w:rPr>
          <w:sz w:val="24"/>
          <w:szCs w:val="24"/>
        </w:rPr>
        <w:t xml:space="preserve"> </w:t>
      </w:r>
      <w:r w:rsidR="000215C0" w:rsidRPr="00B846AB">
        <w:rPr>
          <w:sz w:val="24"/>
          <w:szCs w:val="24"/>
        </w:rPr>
        <w:t>clear</w:t>
      </w:r>
      <w:r w:rsidR="00752844" w:rsidRPr="00B846AB">
        <w:rPr>
          <w:sz w:val="24"/>
          <w:szCs w:val="24"/>
        </w:rPr>
        <w:t xml:space="preserve"> lead</w:t>
      </w:r>
      <w:r w:rsidR="000215C0" w:rsidRPr="00B846AB">
        <w:rPr>
          <w:sz w:val="24"/>
          <w:szCs w:val="24"/>
        </w:rPr>
        <w:t>ership</w:t>
      </w:r>
      <w:r w:rsidR="00752844" w:rsidRPr="00B846AB">
        <w:rPr>
          <w:sz w:val="24"/>
          <w:szCs w:val="24"/>
        </w:rPr>
        <w:t xml:space="preserve"> and direct</w:t>
      </w:r>
      <w:r w:rsidR="000215C0" w:rsidRPr="00B846AB">
        <w:rPr>
          <w:sz w:val="24"/>
          <w:szCs w:val="24"/>
        </w:rPr>
        <w:t>ion</w:t>
      </w:r>
      <w:r w:rsidR="00D414E3" w:rsidRPr="00B846AB">
        <w:rPr>
          <w:sz w:val="24"/>
          <w:szCs w:val="24"/>
        </w:rPr>
        <w:t xml:space="preserve">. </w:t>
      </w:r>
      <w:r w:rsidR="005C5072" w:rsidRPr="00B846AB">
        <w:rPr>
          <w:sz w:val="24"/>
          <w:szCs w:val="24"/>
        </w:rPr>
        <w:t xml:space="preserve">Having </w:t>
      </w:r>
      <w:r w:rsidR="003B675A" w:rsidRPr="00B846AB">
        <w:rPr>
          <w:sz w:val="24"/>
          <w:szCs w:val="24"/>
        </w:rPr>
        <w:t>effective</w:t>
      </w:r>
      <w:r w:rsidR="005C5072" w:rsidRPr="00B846AB">
        <w:rPr>
          <w:sz w:val="24"/>
          <w:szCs w:val="24"/>
        </w:rPr>
        <w:t xml:space="preserve"> leadersh</w:t>
      </w:r>
      <w:r w:rsidR="00D65CCE" w:rsidRPr="00B846AB">
        <w:rPr>
          <w:sz w:val="24"/>
          <w:szCs w:val="24"/>
        </w:rPr>
        <w:t>ip is dependent</w:t>
      </w:r>
      <w:r w:rsidR="000D1EE5" w:rsidRPr="00B846AB">
        <w:rPr>
          <w:sz w:val="24"/>
          <w:szCs w:val="24"/>
        </w:rPr>
        <w:t xml:space="preserve"> </w:t>
      </w:r>
      <w:r w:rsidR="006607E0" w:rsidRPr="00B846AB">
        <w:rPr>
          <w:sz w:val="24"/>
          <w:szCs w:val="24"/>
        </w:rPr>
        <w:t xml:space="preserve">on creating clear </w:t>
      </w:r>
      <w:r w:rsidR="00744C91" w:rsidRPr="00B846AB">
        <w:rPr>
          <w:sz w:val="24"/>
          <w:szCs w:val="24"/>
        </w:rPr>
        <w:t>objectives, to</w:t>
      </w:r>
      <w:r w:rsidR="007B1A78" w:rsidRPr="00B846AB">
        <w:rPr>
          <w:sz w:val="24"/>
          <w:szCs w:val="24"/>
        </w:rPr>
        <w:t xml:space="preserve"> reduce </w:t>
      </w:r>
      <w:r w:rsidR="005A0966" w:rsidRPr="00B846AB">
        <w:rPr>
          <w:sz w:val="24"/>
          <w:szCs w:val="24"/>
        </w:rPr>
        <w:t>the</w:t>
      </w:r>
      <w:r w:rsidR="00744C91" w:rsidRPr="00B846AB">
        <w:rPr>
          <w:sz w:val="24"/>
          <w:szCs w:val="24"/>
        </w:rPr>
        <w:t>se</w:t>
      </w:r>
      <w:r w:rsidR="005A0966" w:rsidRPr="00B846AB">
        <w:rPr>
          <w:sz w:val="24"/>
          <w:szCs w:val="24"/>
        </w:rPr>
        <w:t xml:space="preserve"> overlaps </w:t>
      </w:r>
      <w:r w:rsidR="00BF34CC" w:rsidRPr="00B846AB">
        <w:rPr>
          <w:sz w:val="24"/>
          <w:szCs w:val="24"/>
        </w:rPr>
        <w:t>criteria</w:t>
      </w:r>
      <w:r w:rsidR="00B3414C" w:rsidRPr="00B846AB">
        <w:rPr>
          <w:sz w:val="24"/>
          <w:szCs w:val="24"/>
        </w:rPr>
        <w:t xml:space="preserve"> 1.1 and 1.2 were cons</w:t>
      </w:r>
      <w:r w:rsidR="00EC00DE" w:rsidRPr="00B846AB">
        <w:rPr>
          <w:sz w:val="24"/>
          <w:szCs w:val="24"/>
        </w:rPr>
        <w:t xml:space="preserve">olidated </w:t>
      </w:r>
      <w:r w:rsidR="004B7B9D" w:rsidRPr="00B846AB">
        <w:rPr>
          <w:sz w:val="24"/>
          <w:szCs w:val="24"/>
        </w:rPr>
        <w:t>within</w:t>
      </w:r>
      <w:r w:rsidR="00EC00DE" w:rsidRPr="00B846AB">
        <w:rPr>
          <w:sz w:val="24"/>
          <w:szCs w:val="24"/>
        </w:rPr>
        <w:t xml:space="preserve"> </w:t>
      </w:r>
      <w:r w:rsidR="00141E81" w:rsidRPr="00B846AB">
        <w:rPr>
          <w:sz w:val="24"/>
          <w:szCs w:val="24"/>
        </w:rPr>
        <w:t>the</w:t>
      </w:r>
      <w:r w:rsidR="00EC00DE" w:rsidRPr="00B846AB">
        <w:rPr>
          <w:sz w:val="24"/>
          <w:szCs w:val="24"/>
        </w:rPr>
        <w:t xml:space="preserve"> new</w:t>
      </w:r>
      <w:r w:rsidR="00141E81" w:rsidRPr="00B846AB">
        <w:rPr>
          <w:sz w:val="24"/>
          <w:szCs w:val="24"/>
        </w:rPr>
        <w:t xml:space="preserve"> criterion</w:t>
      </w:r>
      <w:r w:rsidR="00EC00DE" w:rsidRPr="00B846AB">
        <w:rPr>
          <w:sz w:val="24"/>
          <w:szCs w:val="24"/>
        </w:rPr>
        <w:t xml:space="preserve"> 1.1 </w:t>
      </w:r>
      <w:r w:rsidR="009E2537" w:rsidRPr="00B846AB">
        <w:rPr>
          <w:sz w:val="24"/>
          <w:szCs w:val="24"/>
        </w:rPr>
        <w:t xml:space="preserve">to </w:t>
      </w:r>
      <w:r w:rsidR="0098598E" w:rsidRPr="00B846AB">
        <w:rPr>
          <w:sz w:val="24"/>
          <w:szCs w:val="24"/>
        </w:rPr>
        <w:t>cover</w:t>
      </w:r>
      <w:r w:rsidR="009E2537" w:rsidRPr="00B846AB">
        <w:rPr>
          <w:sz w:val="24"/>
          <w:szCs w:val="24"/>
        </w:rPr>
        <w:t xml:space="preserve"> </w:t>
      </w:r>
      <w:r w:rsidR="00A562CC" w:rsidRPr="00B846AB">
        <w:rPr>
          <w:sz w:val="24"/>
          <w:szCs w:val="24"/>
        </w:rPr>
        <w:t>the commitment of senior leaders</w:t>
      </w:r>
      <w:r w:rsidR="0098598E" w:rsidRPr="00B846AB">
        <w:rPr>
          <w:sz w:val="24"/>
          <w:szCs w:val="24"/>
        </w:rPr>
        <w:t xml:space="preserve"> to high quality IAG</w:t>
      </w:r>
      <w:r w:rsidR="00EE0831" w:rsidRPr="00B846AB">
        <w:rPr>
          <w:sz w:val="24"/>
          <w:szCs w:val="24"/>
        </w:rPr>
        <w:t>.</w:t>
      </w:r>
      <w:r w:rsidR="00F662CB" w:rsidRPr="00B846AB">
        <w:rPr>
          <w:sz w:val="24"/>
          <w:szCs w:val="24"/>
        </w:rPr>
        <w:t xml:space="preserve">  </w:t>
      </w:r>
      <w:r w:rsidR="00744C91" w:rsidRPr="00B846AB">
        <w:rPr>
          <w:sz w:val="24"/>
          <w:szCs w:val="24"/>
        </w:rPr>
        <w:t>T</w:t>
      </w:r>
      <w:r w:rsidR="004216A9" w:rsidRPr="00B846AB">
        <w:rPr>
          <w:sz w:val="24"/>
          <w:szCs w:val="24"/>
        </w:rPr>
        <w:t xml:space="preserve">he previous </w:t>
      </w:r>
      <w:r w:rsidR="0080214A" w:rsidRPr="00B846AB">
        <w:rPr>
          <w:sz w:val="24"/>
          <w:szCs w:val="24"/>
        </w:rPr>
        <w:t xml:space="preserve">criterion </w:t>
      </w:r>
      <w:r w:rsidR="004216A9" w:rsidRPr="00B846AB">
        <w:rPr>
          <w:sz w:val="24"/>
          <w:szCs w:val="24"/>
        </w:rPr>
        <w:t xml:space="preserve">4.1 </w:t>
      </w:r>
      <w:r w:rsidR="006235D4" w:rsidRPr="00B846AB">
        <w:rPr>
          <w:sz w:val="24"/>
          <w:szCs w:val="24"/>
        </w:rPr>
        <w:t>requires the organisation to measure and evaluate the service against its stated aims and objectives</w:t>
      </w:r>
      <w:r w:rsidR="00996CBA" w:rsidRPr="00B846AB">
        <w:rPr>
          <w:sz w:val="24"/>
          <w:szCs w:val="24"/>
        </w:rPr>
        <w:t xml:space="preserve"> and 4.2 – 4.</w:t>
      </w:r>
      <w:r w:rsidR="00E92DF2" w:rsidRPr="00B846AB">
        <w:rPr>
          <w:sz w:val="24"/>
          <w:szCs w:val="24"/>
        </w:rPr>
        <w:t>7</w:t>
      </w:r>
      <w:r w:rsidR="00996CBA" w:rsidRPr="00B846AB">
        <w:rPr>
          <w:sz w:val="24"/>
          <w:szCs w:val="24"/>
        </w:rPr>
        <w:t xml:space="preserve"> specify </w:t>
      </w:r>
      <w:r w:rsidR="009A5235" w:rsidRPr="00B846AB">
        <w:rPr>
          <w:sz w:val="24"/>
          <w:szCs w:val="24"/>
        </w:rPr>
        <w:t xml:space="preserve">what should be measured and evaluated.  </w:t>
      </w:r>
      <w:r w:rsidR="00AF2F3A" w:rsidRPr="00B846AB">
        <w:rPr>
          <w:sz w:val="24"/>
          <w:szCs w:val="24"/>
        </w:rPr>
        <w:t xml:space="preserve">The previous </w:t>
      </w:r>
      <w:r w:rsidR="00A1450C" w:rsidRPr="00B846AB">
        <w:rPr>
          <w:sz w:val="24"/>
          <w:szCs w:val="24"/>
        </w:rPr>
        <w:t>criteria</w:t>
      </w:r>
      <w:r w:rsidR="00AF2F3A" w:rsidRPr="00B846AB">
        <w:rPr>
          <w:sz w:val="24"/>
          <w:szCs w:val="24"/>
        </w:rPr>
        <w:t xml:space="preserve"> have </w:t>
      </w:r>
      <w:r w:rsidR="001710B1" w:rsidRPr="00B846AB">
        <w:rPr>
          <w:sz w:val="24"/>
          <w:szCs w:val="24"/>
        </w:rPr>
        <w:t xml:space="preserve">therefore </w:t>
      </w:r>
      <w:r w:rsidR="00AF2F3A" w:rsidRPr="00B846AB">
        <w:rPr>
          <w:sz w:val="24"/>
          <w:szCs w:val="24"/>
        </w:rPr>
        <w:t>been con</w:t>
      </w:r>
      <w:r w:rsidR="00B9778E" w:rsidRPr="00B846AB">
        <w:rPr>
          <w:sz w:val="24"/>
          <w:szCs w:val="24"/>
        </w:rPr>
        <w:t xml:space="preserve">solidated into </w:t>
      </w:r>
      <w:r w:rsidR="00D952DB" w:rsidRPr="00B846AB">
        <w:rPr>
          <w:sz w:val="24"/>
          <w:szCs w:val="24"/>
        </w:rPr>
        <w:t xml:space="preserve">two </w:t>
      </w:r>
      <w:r w:rsidR="001710B1" w:rsidRPr="00B846AB">
        <w:rPr>
          <w:sz w:val="24"/>
          <w:szCs w:val="24"/>
        </w:rPr>
        <w:t>criteri</w:t>
      </w:r>
      <w:r w:rsidR="006F0901" w:rsidRPr="00B846AB">
        <w:rPr>
          <w:sz w:val="24"/>
          <w:szCs w:val="24"/>
        </w:rPr>
        <w:t>a</w:t>
      </w:r>
      <w:r w:rsidR="00773BD5" w:rsidRPr="00B846AB">
        <w:rPr>
          <w:sz w:val="24"/>
          <w:szCs w:val="24"/>
        </w:rPr>
        <w:t xml:space="preserve"> at 7.1 and </w:t>
      </w:r>
      <w:r w:rsidR="00A86625" w:rsidRPr="00B846AB">
        <w:rPr>
          <w:sz w:val="24"/>
          <w:szCs w:val="24"/>
        </w:rPr>
        <w:t>7.2</w:t>
      </w:r>
      <w:r w:rsidR="00EE67DA" w:rsidRPr="00B846AB">
        <w:rPr>
          <w:sz w:val="24"/>
          <w:szCs w:val="24"/>
        </w:rPr>
        <w:t xml:space="preserve"> and brought together what should be measured and evaluated</w:t>
      </w:r>
      <w:r w:rsidR="00412090" w:rsidRPr="00B846AB">
        <w:rPr>
          <w:sz w:val="24"/>
          <w:szCs w:val="24"/>
        </w:rPr>
        <w:t xml:space="preserve"> and how this eviden</w:t>
      </w:r>
      <w:r w:rsidR="00E943A7" w:rsidRPr="00B846AB">
        <w:rPr>
          <w:sz w:val="24"/>
          <w:szCs w:val="24"/>
        </w:rPr>
        <w:t>ce is used to develop the IAG service</w:t>
      </w:r>
      <w:r w:rsidR="00EE67DA" w:rsidRPr="00B846AB">
        <w:rPr>
          <w:sz w:val="24"/>
          <w:szCs w:val="24"/>
        </w:rPr>
        <w:t>.</w:t>
      </w:r>
      <w:r w:rsidR="00D952DB" w:rsidRPr="00B846AB">
        <w:rPr>
          <w:sz w:val="24"/>
          <w:szCs w:val="24"/>
        </w:rPr>
        <w:t xml:space="preserve"> </w:t>
      </w:r>
      <w:r w:rsidR="009A5235" w:rsidRPr="00B846AB">
        <w:rPr>
          <w:sz w:val="24"/>
          <w:szCs w:val="24"/>
        </w:rPr>
        <w:t xml:space="preserve"> </w:t>
      </w:r>
      <w:r w:rsidR="00996CBA" w:rsidRPr="00B846AB">
        <w:rPr>
          <w:sz w:val="24"/>
          <w:szCs w:val="24"/>
        </w:rPr>
        <w:t xml:space="preserve"> </w:t>
      </w:r>
      <w:r w:rsidR="004216A9" w:rsidRPr="00B846AB">
        <w:rPr>
          <w:sz w:val="24"/>
          <w:szCs w:val="24"/>
        </w:rPr>
        <w:t xml:space="preserve"> </w:t>
      </w:r>
    </w:p>
    <w:p w14:paraId="0C8D96B6" w14:textId="74D1AEFF" w:rsidR="00EE0831" w:rsidRPr="00B846AB" w:rsidRDefault="00744C91" w:rsidP="00CA35D9">
      <w:pPr>
        <w:pStyle w:val="Bullet"/>
        <w:rPr>
          <w:sz w:val="24"/>
          <w:szCs w:val="24"/>
        </w:rPr>
      </w:pPr>
      <w:r w:rsidRPr="00B846AB">
        <w:rPr>
          <w:sz w:val="24"/>
          <w:szCs w:val="24"/>
        </w:rPr>
        <w:t>Seven</w:t>
      </w:r>
      <w:r w:rsidR="0053405D" w:rsidRPr="00B846AB">
        <w:rPr>
          <w:sz w:val="24"/>
          <w:szCs w:val="24"/>
        </w:rPr>
        <w:t xml:space="preserve"> </w:t>
      </w:r>
      <w:r w:rsidR="00E61AFC" w:rsidRPr="00B846AB">
        <w:rPr>
          <w:sz w:val="24"/>
          <w:szCs w:val="24"/>
        </w:rPr>
        <w:t xml:space="preserve">criteria were divided into </w:t>
      </w:r>
      <w:r w:rsidR="00D7033A" w:rsidRPr="00B846AB">
        <w:rPr>
          <w:sz w:val="24"/>
          <w:szCs w:val="24"/>
        </w:rPr>
        <w:t>twelve new</w:t>
      </w:r>
      <w:r w:rsidR="00E61AFC" w:rsidRPr="00B846AB">
        <w:rPr>
          <w:sz w:val="24"/>
          <w:szCs w:val="24"/>
        </w:rPr>
        <w:t xml:space="preserve"> criteria to give greater clarity and reflect best practices</w:t>
      </w:r>
      <w:r w:rsidR="00F024D4" w:rsidRPr="00B846AB">
        <w:rPr>
          <w:sz w:val="24"/>
          <w:szCs w:val="24"/>
        </w:rPr>
        <w:t xml:space="preserve">, </w:t>
      </w:r>
      <w:r w:rsidR="009D326B" w:rsidRPr="00B846AB">
        <w:rPr>
          <w:sz w:val="24"/>
          <w:szCs w:val="24"/>
        </w:rPr>
        <w:t>and</w:t>
      </w:r>
      <w:r w:rsidR="00333EE9" w:rsidRPr="00B846AB">
        <w:rPr>
          <w:sz w:val="24"/>
          <w:szCs w:val="24"/>
        </w:rPr>
        <w:t xml:space="preserve"> </w:t>
      </w:r>
      <w:r w:rsidR="00BF34CC" w:rsidRPr="00B846AB">
        <w:rPr>
          <w:sz w:val="24"/>
          <w:szCs w:val="24"/>
        </w:rPr>
        <w:t>three</w:t>
      </w:r>
      <w:r w:rsidR="00333EE9" w:rsidRPr="00B846AB">
        <w:rPr>
          <w:sz w:val="24"/>
          <w:szCs w:val="24"/>
        </w:rPr>
        <w:t xml:space="preserve"> new criteria were </w:t>
      </w:r>
      <w:r w:rsidR="00ED52DD" w:rsidRPr="00B846AB">
        <w:rPr>
          <w:sz w:val="24"/>
          <w:szCs w:val="24"/>
        </w:rPr>
        <w:t>added</w:t>
      </w:r>
      <w:r w:rsidR="00F024D4" w:rsidRPr="00B846AB">
        <w:rPr>
          <w:sz w:val="24"/>
          <w:szCs w:val="24"/>
        </w:rPr>
        <w:t xml:space="preserve"> </w:t>
      </w:r>
      <w:r w:rsidR="00BF34CC" w:rsidRPr="00B846AB">
        <w:rPr>
          <w:sz w:val="24"/>
          <w:szCs w:val="24"/>
        </w:rPr>
        <w:t>(</w:t>
      </w:r>
      <w:r w:rsidR="00F024D4" w:rsidRPr="00B846AB">
        <w:rPr>
          <w:sz w:val="24"/>
          <w:szCs w:val="24"/>
        </w:rPr>
        <w:t xml:space="preserve">shown </w:t>
      </w:r>
      <w:r w:rsidR="00BF34CC" w:rsidRPr="00B846AB">
        <w:rPr>
          <w:sz w:val="24"/>
          <w:szCs w:val="24"/>
        </w:rPr>
        <w:t xml:space="preserve">in table </w:t>
      </w:r>
      <w:r w:rsidR="00F024D4" w:rsidRPr="00B846AB">
        <w:rPr>
          <w:sz w:val="24"/>
          <w:szCs w:val="24"/>
        </w:rPr>
        <w:t>below</w:t>
      </w:r>
      <w:r w:rsidR="00BF34CC" w:rsidRPr="00B846AB">
        <w:rPr>
          <w:sz w:val="24"/>
          <w:szCs w:val="24"/>
        </w:rPr>
        <w:t>)</w:t>
      </w:r>
      <w:r w:rsidR="00EE0831" w:rsidRPr="00B846AB">
        <w:rPr>
          <w:sz w:val="24"/>
          <w:szCs w:val="24"/>
        </w:rPr>
        <w:t>.</w:t>
      </w:r>
    </w:p>
    <w:p w14:paraId="04061F59" w14:textId="77777777" w:rsidR="00B846AB" w:rsidRDefault="00BF34CC" w:rsidP="00CA35D9">
      <w:pPr>
        <w:pStyle w:val="Bullet"/>
        <w:rPr>
          <w:sz w:val="24"/>
          <w:szCs w:val="24"/>
        </w:rPr>
      </w:pPr>
      <w:r w:rsidRPr="00B846AB">
        <w:rPr>
          <w:sz w:val="24"/>
          <w:szCs w:val="24"/>
        </w:rPr>
        <w:t>C</w:t>
      </w:r>
      <w:r w:rsidR="00105782" w:rsidRPr="00B846AB">
        <w:rPr>
          <w:sz w:val="24"/>
          <w:szCs w:val="24"/>
        </w:rPr>
        <w:t>lose consideration was given to the relationship with the Gatsby Benchmarks</w:t>
      </w:r>
      <w:r w:rsidR="00FA17BF" w:rsidRPr="00B846AB">
        <w:rPr>
          <w:sz w:val="24"/>
          <w:szCs w:val="24"/>
        </w:rPr>
        <w:t>. For example</w:t>
      </w:r>
      <w:r w:rsidR="001E27E2" w:rsidRPr="00B846AB">
        <w:rPr>
          <w:sz w:val="24"/>
          <w:szCs w:val="24"/>
        </w:rPr>
        <w:t>,</w:t>
      </w:r>
      <w:r w:rsidR="00105782" w:rsidRPr="00B846AB">
        <w:rPr>
          <w:sz w:val="24"/>
          <w:szCs w:val="24"/>
        </w:rPr>
        <w:t xml:space="preserve"> </w:t>
      </w:r>
      <w:r w:rsidR="0072149A" w:rsidRPr="00B846AB">
        <w:rPr>
          <w:sz w:val="24"/>
          <w:szCs w:val="24"/>
        </w:rPr>
        <w:t xml:space="preserve">element 3 </w:t>
      </w:r>
      <w:r w:rsidR="00B71EBD" w:rsidRPr="00B846AB">
        <w:rPr>
          <w:sz w:val="24"/>
          <w:szCs w:val="24"/>
        </w:rPr>
        <w:t xml:space="preserve">the “Offer” </w:t>
      </w:r>
      <w:r w:rsidR="003C0394" w:rsidRPr="00B846AB">
        <w:rPr>
          <w:sz w:val="24"/>
          <w:szCs w:val="24"/>
        </w:rPr>
        <w:t>includes</w:t>
      </w:r>
      <w:r w:rsidR="0091498D" w:rsidRPr="00B846AB">
        <w:rPr>
          <w:sz w:val="24"/>
          <w:szCs w:val="24"/>
        </w:rPr>
        <w:t xml:space="preserve"> the need for a</w:t>
      </w:r>
      <w:r w:rsidR="001230CF" w:rsidRPr="00B846AB">
        <w:rPr>
          <w:sz w:val="24"/>
          <w:szCs w:val="24"/>
        </w:rPr>
        <w:t>n</w:t>
      </w:r>
      <w:r w:rsidR="0091498D" w:rsidRPr="00B846AB">
        <w:rPr>
          <w:sz w:val="24"/>
          <w:szCs w:val="24"/>
        </w:rPr>
        <w:t xml:space="preserve"> </w:t>
      </w:r>
      <w:r w:rsidR="00967927" w:rsidRPr="00B846AB">
        <w:rPr>
          <w:sz w:val="24"/>
          <w:szCs w:val="24"/>
        </w:rPr>
        <w:t>“openly available description of the IAG</w:t>
      </w:r>
      <w:r w:rsidR="00E00B92" w:rsidRPr="00B846AB">
        <w:rPr>
          <w:sz w:val="24"/>
          <w:szCs w:val="24"/>
        </w:rPr>
        <w:t xml:space="preserve">” which supports Gatsby Benchmark 1 </w:t>
      </w:r>
      <w:r w:rsidR="007F244E" w:rsidRPr="00B846AB">
        <w:rPr>
          <w:sz w:val="24"/>
          <w:szCs w:val="24"/>
        </w:rPr>
        <w:t xml:space="preserve">and </w:t>
      </w:r>
      <w:r w:rsidR="00140609" w:rsidRPr="00B846AB">
        <w:rPr>
          <w:sz w:val="24"/>
          <w:szCs w:val="24"/>
        </w:rPr>
        <w:t xml:space="preserve">encourages colleges to publish </w:t>
      </w:r>
      <w:r w:rsidR="00102B00" w:rsidRPr="00B846AB">
        <w:rPr>
          <w:sz w:val="24"/>
          <w:szCs w:val="24"/>
        </w:rPr>
        <w:t>their careers programme</w:t>
      </w:r>
      <w:r w:rsidRPr="00B846AB">
        <w:rPr>
          <w:sz w:val="24"/>
          <w:szCs w:val="24"/>
        </w:rPr>
        <w:t>.</w:t>
      </w:r>
      <w:r w:rsidR="00ED52DD" w:rsidRPr="00B846AB">
        <w:rPr>
          <w:sz w:val="24"/>
          <w:szCs w:val="24"/>
        </w:rPr>
        <w:t xml:space="preserve"> </w:t>
      </w:r>
    </w:p>
    <w:p w14:paraId="1829B20B" w14:textId="77777777" w:rsidR="00195732" w:rsidRPr="00C36FBC" w:rsidRDefault="00195732" w:rsidP="000B550F"/>
    <w:p w14:paraId="040FB2AD" w14:textId="77777777" w:rsidR="00FB75A4" w:rsidRPr="00D26B72" w:rsidRDefault="00FB75A4" w:rsidP="00FB75A4">
      <w:pPr>
        <w:rPr>
          <w:rFonts w:cs="Arial"/>
        </w:rPr>
      </w:pPr>
      <w:r w:rsidRPr="00D26B72">
        <w:rPr>
          <w:rFonts w:cs="Arial"/>
        </w:rPr>
        <w:t>Examples of some criteria that have changed to support the narrative above:</w:t>
      </w:r>
    </w:p>
    <w:p w14:paraId="69464A19" w14:textId="77777777" w:rsidR="00FB75A4" w:rsidRPr="00D26B72" w:rsidRDefault="00FB75A4" w:rsidP="00FB75A4">
      <w:pPr>
        <w:rPr>
          <w:rFonts w:cs="Arial"/>
        </w:rPr>
      </w:pPr>
    </w:p>
    <w:tbl>
      <w:tblPr>
        <w:tblStyle w:val="TableGrid"/>
        <w:tblW w:w="0" w:type="auto"/>
        <w:tblLook w:val="04A0" w:firstRow="1" w:lastRow="0" w:firstColumn="1" w:lastColumn="0" w:noHBand="0" w:noVBand="1"/>
      </w:tblPr>
      <w:tblGrid>
        <w:gridCol w:w="3012"/>
        <w:gridCol w:w="2833"/>
        <w:gridCol w:w="3171"/>
      </w:tblGrid>
      <w:tr w:rsidR="00FB75A4" w:rsidRPr="00D26B72" w14:paraId="029BDB5B" w14:textId="77777777" w:rsidTr="00D33600">
        <w:tc>
          <w:tcPr>
            <w:tcW w:w="3012" w:type="dxa"/>
          </w:tcPr>
          <w:p w14:paraId="48958436" w14:textId="71E2B060" w:rsidR="00FB75A4" w:rsidRPr="009C48FB" w:rsidRDefault="00FB75A4" w:rsidP="00D33600">
            <w:pPr>
              <w:rPr>
                <w:rFonts w:cs="Arial"/>
                <w:b/>
                <w:bCs/>
                <w:sz w:val="24"/>
              </w:rPr>
            </w:pPr>
            <w:r w:rsidRPr="009C48FB">
              <w:rPr>
                <w:rFonts w:cs="Arial"/>
                <w:b/>
                <w:bCs/>
                <w:sz w:val="24"/>
              </w:rPr>
              <w:t xml:space="preserve">Example of a </w:t>
            </w:r>
            <w:r w:rsidR="009C48FB">
              <w:rPr>
                <w:rFonts w:cs="Arial"/>
                <w:b/>
                <w:bCs/>
                <w:sz w:val="24"/>
              </w:rPr>
              <w:t>C</w:t>
            </w:r>
            <w:r w:rsidRPr="009C48FB">
              <w:rPr>
                <w:rFonts w:cs="Arial"/>
                <w:b/>
                <w:bCs/>
                <w:sz w:val="24"/>
              </w:rPr>
              <w:t>hange</w:t>
            </w:r>
          </w:p>
        </w:tc>
        <w:tc>
          <w:tcPr>
            <w:tcW w:w="2833" w:type="dxa"/>
          </w:tcPr>
          <w:p w14:paraId="2AFDF15F" w14:textId="77777777" w:rsidR="00FB75A4" w:rsidRPr="00D26B72" w:rsidRDefault="00FB75A4" w:rsidP="00D33600">
            <w:pPr>
              <w:rPr>
                <w:rFonts w:cs="Arial"/>
                <w:b/>
                <w:bCs/>
                <w:sz w:val="24"/>
              </w:rPr>
            </w:pPr>
            <w:r w:rsidRPr="00D26B72">
              <w:rPr>
                <w:rFonts w:cs="Arial"/>
                <w:b/>
                <w:bCs/>
                <w:sz w:val="24"/>
              </w:rPr>
              <w:t xml:space="preserve">Current Criteria </w:t>
            </w:r>
          </w:p>
        </w:tc>
        <w:tc>
          <w:tcPr>
            <w:tcW w:w="3171" w:type="dxa"/>
          </w:tcPr>
          <w:p w14:paraId="6B21969C" w14:textId="77777777" w:rsidR="00FB75A4" w:rsidRPr="00D26B72" w:rsidRDefault="00FB75A4" w:rsidP="00D33600">
            <w:pPr>
              <w:rPr>
                <w:rFonts w:cs="Arial"/>
                <w:b/>
                <w:bCs/>
                <w:sz w:val="24"/>
              </w:rPr>
            </w:pPr>
            <w:r w:rsidRPr="00D26B72">
              <w:rPr>
                <w:rFonts w:cs="Arial"/>
                <w:b/>
                <w:bCs/>
                <w:sz w:val="24"/>
              </w:rPr>
              <w:t>Revised Criteria</w:t>
            </w:r>
          </w:p>
        </w:tc>
      </w:tr>
      <w:tr w:rsidR="00FB75A4" w:rsidRPr="00D26B72" w14:paraId="25821CAE" w14:textId="77777777" w:rsidTr="00D33600">
        <w:tc>
          <w:tcPr>
            <w:tcW w:w="3012" w:type="dxa"/>
          </w:tcPr>
          <w:p w14:paraId="303AEF20" w14:textId="35869BC7" w:rsidR="00FB75A4" w:rsidRPr="00D26B72" w:rsidRDefault="008F1641" w:rsidP="00D33600">
            <w:pPr>
              <w:rPr>
                <w:rFonts w:cs="Arial"/>
                <w:sz w:val="24"/>
              </w:rPr>
            </w:pPr>
            <w:r>
              <w:rPr>
                <w:rFonts w:cs="Arial"/>
                <w:sz w:val="24"/>
              </w:rPr>
              <w:t>T</w:t>
            </w:r>
            <w:r w:rsidR="00FB75A4" w:rsidRPr="00D26B72">
              <w:rPr>
                <w:rFonts w:cs="Arial"/>
                <w:sz w:val="24"/>
              </w:rPr>
              <w:t xml:space="preserve">he current 1.4 has been divided into 3 criteria that deal with safeguarding, data security and statutory requirements. This better reflects good practice. </w:t>
            </w:r>
          </w:p>
        </w:tc>
        <w:tc>
          <w:tcPr>
            <w:tcW w:w="2833" w:type="dxa"/>
          </w:tcPr>
          <w:p w14:paraId="5FF479E3" w14:textId="77777777" w:rsidR="00FB75A4" w:rsidRPr="00D26B72" w:rsidRDefault="00FB75A4" w:rsidP="00D33600">
            <w:pPr>
              <w:rPr>
                <w:rFonts w:cs="Arial"/>
                <w:sz w:val="24"/>
              </w:rPr>
            </w:pPr>
            <w:r w:rsidRPr="00D26B72">
              <w:rPr>
                <w:rFonts w:cs="Arial"/>
                <w:sz w:val="24"/>
              </w:rPr>
              <w:t>1.4 The organisation complies with existing and new legislation which might impact upon the service.</w:t>
            </w:r>
          </w:p>
        </w:tc>
        <w:tc>
          <w:tcPr>
            <w:tcW w:w="3171" w:type="dxa"/>
          </w:tcPr>
          <w:p w14:paraId="40F4F373" w14:textId="77777777" w:rsidR="00FB75A4" w:rsidRPr="00D26B72" w:rsidRDefault="00FB75A4" w:rsidP="00D33600">
            <w:pPr>
              <w:jc w:val="left"/>
              <w:rPr>
                <w:rFonts w:cs="Arial"/>
                <w:sz w:val="24"/>
              </w:rPr>
            </w:pPr>
            <w:r w:rsidRPr="00D26B72">
              <w:rPr>
                <w:rFonts w:cs="Arial"/>
                <w:sz w:val="24"/>
              </w:rPr>
              <w:t>1.3 Staff and recipients feel safe.</w:t>
            </w:r>
          </w:p>
          <w:p w14:paraId="102C5188" w14:textId="77777777" w:rsidR="00FB75A4" w:rsidRPr="00D26B72" w:rsidRDefault="00FB75A4" w:rsidP="00D33600">
            <w:pPr>
              <w:jc w:val="left"/>
              <w:rPr>
                <w:rFonts w:cs="Arial"/>
                <w:sz w:val="24"/>
              </w:rPr>
            </w:pPr>
            <w:r w:rsidRPr="00D26B72">
              <w:rPr>
                <w:rFonts w:cs="Arial"/>
                <w:sz w:val="24"/>
              </w:rPr>
              <w:t>1.5 Data security and privacy of recipient data are defined.</w:t>
            </w:r>
          </w:p>
          <w:p w14:paraId="0F407E37" w14:textId="77777777" w:rsidR="00FB75A4" w:rsidRPr="00D26B72" w:rsidRDefault="00FB75A4" w:rsidP="00D33600">
            <w:pPr>
              <w:jc w:val="left"/>
              <w:rPr>
                <w:rFonts w:cs="Arial"/>
                <w:sz w:val="24"/>
              </w:rPr>
            </w:pPr>
            <w:r w:rsidRPr="00D26B72">
              <w:rPr>
                <w:rFonts w:cs="Arial"/>
                <w:sz w:val="24"/>
              </w:rPr>
              <w:t>1.6 The organisation responds to relevant statutory requirements.</w:t>
            </w:r>
          </w:p>
          <w:p w14:paraId="3836B31C" w14:textId="77777777" w:rsidR="00FB75A4" w:rsidRPr="00D26B72" w:rsidRDefault="00FB75A4" w:rsidP="00D33600">
            <w:pPr>
              <w:rPr>
                <w:rFonts w:cs="Arial"/>
                <w:sz w:val="24"/>
              </w:rPr>
            </w:pPr>
          </w:p>
        </w:tc>
      </w:tr>
    </w:tbl>
    <w:p w14:paraId="0B92FB15" w14:textId="77777777" w:rsidR="00FB75A4" w:rsidRPr="00D26B72" w:rsidRDefault="00FB75A4" w:rsidP="00FB75A4"/>
    <w:tbl>
      <w:tblPr>
        <w:tblStyle w:val="TableGrid"/>
        <w:tblW w:w="0" w:type="auto"/>
        <w:tblLook w:val="04A0" w:firstRow="1" w:lastRow="0" w:firstColumn="1" w:lastColumn="0" w:noHBand="0" w:noVBand="1"/>
      </w:tblPr>
      <w:tblGrid>
        <w:gridCol w:w="4248"/>
        <w:gridCol w:w="4768"/>
      </w:tblGrid>
      <w:tr w:rsidR="00FB75A4" w:rsidRPr="00D26B72" w14:paraId="0A0E6E79" w14:textId="77777777" w:rsidTr="00D33600">
        <w:tc>
          <w:tcPr>
            <w:tcW w:w="4248" w:type="dxa"/>
          </w:tcPr>
          <w:p w14:paraId="20B70D21" w14:textId="77777777" w:rsidR="00FB75A4" w:rsidRPr="00D26B72" w:rsidRDefault="00FB75A4" w:rsidP="00D33600">
            <w:pPr>
              <w:rPr>
                <w:rFonts w:cs="Arial"/>
                <w:sz w:val="24"/>
              </w:rPr>
            </w:pPr>
            <w:r w:rsidRPr="00D26B72">
              <w:br w:type="page"/>
            </w:r>
            <w:r w:rsidRPr="00D26B72">
              <w:rPr>
                <w:rFonts w:cs="Arial"/>
                <w:sz w:val="24"/>
              </w:rPr>
              <w:t xml:space="preserve">Examples of new criteria added to the revised </w:t>
            </w:r>
            <w:proofErr w:type="gramStart"/>
            <w:r w:rsidRPr="00D26B72">
              <w:rPr>
                <w:rFonts w:cs="Arial"/>
                <w:sz w:val="24"/>
              </w:rPr>
              <w:t>Standard</w:t>
            </w:r>
            <w:proofErr w:type="gramEnd"/>
          </w:p>
          <w:p w14:paraId="297F5CD1" w14:textId="77777777" w:rsidR="00FB75A4" w:rsidRPr="00D26B72" w:rsidRDefault="00FB75A4" w:rsidP="00D33600">
            <w:pPr>
              <w:rPr>
                <w:rFonts w:cs="Arial"/>
                <w:sz w:val="24"/>
              </w:rPr>
            </w:pPr>
          </w:p>
          <w:p w14:paraId="16188FC0" w14:textId="77777777" w:rsidR="00FB75A4" w:rsidRPr="00D26B72" w:rsidRDefault="00FB75A4" w:rsidP="00D33600">
            <w:pPr>
              <w:rPr>
                <w:rFonts w:cs="Arial"/>
                <w:sz w:val="24"/>
              </w:rPr>
            </w:pPr>
          </w:p>
        </w:tc>
        <w:tc>
          <w:tcPr>
            <w:tcW w:w="4768" w:type="dxa"/>
          </w:tcPr>
          <w:p w14:paraId="474F79B6" w14:textId="77777777" w:rsidR="00FB75A4" w:rsidRPr="00D26B72" w:rsidRDefault="00FB75A4" w:rsidP="00D33600">
            <w:pPr>
              <w:rPr>
                <w:rFonts w:cs="Arial"/>
                <w:sz w:val="24"/>
              </w:rPr>
            </w:pPr>
            <w:r w:rsidRPr="00D26B72">
              <w:rPr>
                <w:rFonts w:cs="Arial"/>
                <w:sz w:val="24"/>
              </w:rPr>
              <w:t>1.4 A culture of wellbeing exists.</w:t>
            </w:r>
          </w:p>
          <w:p w14:paraId="4EFD2777" w14:textId="77777777" w:rsidR="00FB75A4" w:rsidRPr="00D26B72" w:rsidRDefault="00FB75A4" w:rsidP="00D33600">
            <w:pPr>
              <w:rPr>
                <w:rFonts w:cs="Arial"/>
                <w:sz w:val="24"/>
              </w:rPr>
            </w:pPr>
            <w:r w:rsidRPr="00D26B72">
              <w:rPr>
                <w:rFonts w:cs="Arial"/>
                <w:sz w:val="24"/>
              </w:rPr>
              <w:t>4.2 The individual needs of those receiving the IAG are explored and established.</w:t>
            </w:r>
          </w:p>
          <w:p w14:paraId="60DFCCBB" w14:textId="77777777" w:rsidR="00FB75A4" w:rsidRPr="00D26B72" w:rsidRDefault="00FB75A4" w:rsidP="00D33600">
            <w:pPr>
              <w:rPr>
                <w:rFonts w:cs="Arial"/>
                <w:sz w:val="24"/>
              </w:rPr>
            </w:pPr>
            <w:r w:rsidRPr="00D26B72">
              <w:rPr>
                <w:rFonts w:cs="Arial"/>
                <w:sz w:val="24"/>
              </w:rPr>
              <w:t>4.6 Actions are monitored, and further support provided as appropriate.</w:t>
            </w:r>
          </w:p>
          <w:p w14:paraId="04BE0D3C" w14:textId="77777777" w:rsidR="00FB75A4" w:rsidRPr="00D26B72" w:rsidRDefault="00FB75A4" w:rsidP="00D33600">
            <w:pPr>
              <w:rPr>
                <w:rFonts w:cs="Arial"/>
                <w:sz w:val="24"/>
              </w:rPr>
            </w:pPr>
          </w:p>
        </w:tc>
      </w:tr>
    </w:tbl>
    <w:p w14:paraId="69666E4C" w14:textId="77777777" w:rsidR="004550B8" w:rsidRDefault="004550B8">
      <w:pPr>
        <w:jc w:val="left"/>
        <w:rPr>
          <w:rFonts w:cs="Arial"/>
          <w:sz w:val="24"/>
        </w:rPr>
      </w:pPr>
      <w:r>
        <w:rPr>
          <w:rFonts w:cs="Arial"/>
          <w:sz w:val="24"/>
        </w:rPr>
        <w:br w:type="page"/>
      </w:r>
    </w:p>
    <w:p w14:paraId="22819168" w14:textId="6B59A6F1" w:rsidR="005F7A7F" w:rsidRPr="000112A8" w:rsidRDefault="005F7A7F" w:rsidP="005F7A7F">
      <w:pPr>
        <w:rPr>
          <w:rFonts w:cs="Arial"/>
          <w:sz w:val="24"/>
        </w:rPr>
      </w:pPr>
      <w:r w:rsidRPr="000112A8">
        <w:rPr>
          <w:rFonts w:cs="Arial"/>
          <w:sz w:val="24"/>
        </w:rPr>
        <w:lastRenderedPageBreak/>
        <w:t>Other considerations that were incorporated in the alpha version were:</w:t>
      </w:r>
    </w:p>
    <w:p w14:paraId="77DB1B06" w14:textId="77777777" w:rsidR="00744C91" w:rsidRPr="000112A8" w:rsidRDefault="00744C91" w:rsidP="005F7A7F">
      <w:pPr>
        <w:rPr>
          <w:rFonts w:cs="Arial"/>
          <w:sz w:val="24"/>
        </w:rPr>
      </w:pPr>
    </w:p>
    <w:p w14:paraId="5FB3FD26" w14:textId="0C8B1662" w:rsidR="005F7A7F" w:rsidRPr="000112A8" w:rsidRDefault="005F7A7F" w:rsidP="00CA35D9">
      <w:pPr>
        <w:pStyle w:val="Bullet"/>
        <w:rPr>
          <w:sz w:val="24"/>
          <w:szCs w:val="24"/>
        </w:rPr>
      </w:pPr>
      <w:r w:rsidRPr="000112A8">
        <w:rPr>
          <w:b/>
          <w:bCs/>
          <w:sz w:val="24"/>
          <w:szCs w:val="24"/>
        </w:rPr>
        <w:t>Wellbeing</w:t>
      </w:r>
      <w:r w:rsidRPr="000112A8">
        <w:rPr>
          <w:sz w:val="24"/>
          <w:szCs w:val="24"/>
        </w:rPr>
        <w:t xml:space="preserve"> – the consideration of both recipient and staff wellbeing was added</w:t>
      </w:r>
      <w:r w:rsidR="00EE0831" w:rsidRPr="000112A8">
        <w:rPr>
          <w:sz w:val="24"/>
          <w:szCs w:val="24"/>
        </w:rPr>
        <w:t>.</w:t>
      </w:r>
      <w:r w:rsidR="00647C05" w:rsidRPr="000112A8">
        <w:rPr>
          <w:sz w:val="24"/>
          <w:szCs w:val="24"/>
        </w:rPr>
        <w:t xml:space="preserve">  </w:t>
      </w:r>
      <w:r w:rsidR="00F044EF" w:rsidRPr="000112A8">
        <w:rPr>
          <w:sz w:val="24"/>
          <w:szCs w:val="24"/>
        </w:rPr>
        <w:t>T</w:t>
      </w:r>
      <w:r w:rsidR="00986B67" w:rsidRPr="000112A8">
        <w:rPr>
          <w:sz w:val="24"/>
          <w:szCs w:val="24"/>
        </w:rPr>
        <w:t>he pandemic</w:t>
      </w:r>
      <w:r w:rsidR="00F044EF" w:rsidRPr="000112A8">
        <w:rPr>
          <w:sz w:val="24"/>
          <w:szCs w:val="24"/>
        </w:rPr>
        <w:t xml:space="preserve"> has made</w:t>
      </w:r>
      <w:r w:rsidR="0040162A" w:rsidRPr="000112A8">
        <w:rPr>
          <w:sz w:val="24"/>
          <w:szCs w:val="24"/>
        </w:rPr>
        <w:t xml:space="preserve"> everyone acutely aware that</w:t>
      </w:r>
      <w:r w:rsidR="00986B67" w:rsidRPr="000112A8">
        <w:rPr>
          <w:sz w:val="24"/>
          <w:szCs w:val="24"/>
        </w:rPr>
        <w:t xml:space="preserve"> the</w:t>
      </w:r>
      <w:r w:rsidR="00023F8A" w:rsidRPr="000112A8">
        <w:rPr>
          <w:sz w:val="24"/>
          <w:szCs w:val="24"/>
        </w:rPr>
        <w:t xml:space="preserve"> mental health of both staff and </w:t>
      </w:r>
      <w:r w:rsidR="00F17A3E" w:rsidRPr="000112A8">
        <w:rPr>
          <w:sz w:val="24"/>
          <w:szCs w:val="24"/>
        </w:rPr>
        <w:t xml:space="preserve">recipients is </w:t>
      </w:r>
      <w:r w:rsidR="00DF1938" w:rsidRPr="000112A8">
        <w:rPr>
          <w:sz w:val="24"/>
          <w:szCs w:val="24"/>
        </w:rPr>
        <w:t xml:space="preserve">important.  If people </w:t>
      </w:r>
      <w:r w:rsidR="00112161" w:rsidRPr="000112A8">
        <w:rPr>
          <w:sz w:val="24"/>
          <w:szCs w:val="24"/>
        </w:rPr>
        <w:t xml:space="preserve">are </w:t>
      </w:r>
      <w:r w:rsidR="00444368" w:rsidRPr="000112A8">
        <w:rPr>
          <w:sz w:val="24"/>
          <w:szCs w:val="24"/>
        </w:rPr>
        <w:t>anxious,</w:t>
      </w:r>
      <w:r w:rsidR="00112161" w:rsidRPr="000112A8">
        <w:rPr>
          <w:sz w:val="24"/>
          <w:szCs w:val="24"/>
        </w:rPr>
        <w:t xml:space="preserve"> they are less</w:t>
      </w:r>
      <w:r w:rsidR="004E6A05" w:rsidRPr="000112A8">
        <w:rPr>
          <w:sz w:val="24"/>
          <w:szCs w:val="24"/>
        </w:rPr>
        <w:t>-</w:t>
      </w:r>
      <w:r w:rsidR="00112161" w:rsidRPr="000112A8">
        <w:rPr>
          <w:sz w:val="24"/>
          <w:szCs w:val="24"/>
        </w:rPr>
        <w:t xml:space="preserve">effective </w:t>
      </w:r>
      <w:r w:rsidR="00E3620C" w:rsidRPr="000112A8">
        <w:rPr>
          <w:sz w:val="24"/>
          <w:szCs w:val="24"/>
        </w:rPr>
        <w:t>communicators and listeners</w:t>
      </w:r>
      <w:r w:rsidR="00DB15D4" w:rsidRPr="000112A8">
        <w:rPr>
          <w:sz w:val="24"/>
          <w:szCs w:val="24"/>
        </w:rPr>
        <w:t>, t</w:t>
      </w:r>
      <w:r w:rsidR="00E3620C" w:rsidRPr="000112A8">
        <w:rPr>
          <w:sz w:val="24"/>
          <w:szCs w:val="24"/>
        </w:rPr>
        <w:t xml:space="preserve">herefore, consideration should </w:t>
      </w:r>
      <w:r w:rsidR="004F3672" w:rsidRPr="000112A8">
        <w:rPr>
          <w:sz w:val="24"/>
          <w:szCs w:val="24"/>
        </w:rPr>
        <w:t xml:space="preserve">be given to the wellbeing of those involved </w:t>
      </w:r>
      <w:r w:rsidR="00F6260F" w:rsidRPr="000112A8">
        <w:rPr>
          <w:sz w:val="24"/>
          <w:szCs w:val="24"/>
        </w:rPr>
        <w:t>in both the delivery and receipt of the IAG service.</w:t>
      </w:r>
    </w:p>
    <w:p w14:paraId="170387C1" w14:textId="5D951182" w:rsidR="005F7A7F" w:rsidRPr="000112A8" w:rsidRDefault="005F7A7F" w:rsidP="00CA35D9">
      <w:pPr>
        <w:pStyle w:val="Bullet"/>
        <w:rPr>
          <w:sz w:val="24"/>
          <w:szCs w:val="24"/>
        </w:rPr>
      </w:pPr>
      <w:r w:rsidRPr="000112A8">
        <w:rPr>
          <w:b/>
          <w:bCs/>
          <w:sz w:val="24"/>
          <w:szCs w:val="24"/>
        </w:rPr>
        <w:t xml:space="preserve">Distance Travelled </w:t>
      </w:r>
      <w:r w:rsidRPr="000112A8">
        <w:rPr>
          <w:sz w:val="24"/>
          <w:szCs w:val="24"/>
        </w:rPr>
        <w:t xml:space="preserve">– </w:t>
      </w:r>
      <w:r w:rsidR="001B4F9E" w:rsidRPr="000112A8">
        <w:rPr>
          <w:sz w:val="24"/>
          <w:szCs w:val="24"/>
        </w:rPr>
        <w:t>Recognition of</w:t>
      </w:r>
      <w:r w:rsidRPr="000112A8">
        <w:rPr>
          <w:sz w:val="24"/>
          <w:szCs w:val="24"/>
        </w:rPr>
        <w:t xml:space="preserve"> the importance of measuring the progress of </w:t>
      </w:r>
      <w:r w:rsidR="00491979" w:rsidRPr="000112A8">
        <w:rPr>
          <w:sz w:val="24"/>
          <w:szCs w:val="24"/>
        </w:rPr>
        <w:t>recipients</w:t>
      </w:r>
      <w:r w:rsidRPr="000112A8">
        <w:rPr>
          <w:sz w:val="24"/>
          <w:szCs w:val="24"/>
        </w:rPr>
        <w:t xml:space="preserve"> over</w:t>
      </w:r>
      <w:r w:rsidR="00141E81" w:rsidRPr="000112A8">
        <w:rPr>
          <w:sz w:val="24"/>
          <w:szCs w:val="24"/>
        </w:rPr>
        <w:t xml:space="preserve"> </w:t>
      </w:r>
      <w:r w:rsidR="00491979" w:rsidRPr="000112A8">
        <w:rPr>
          <w:sz w:val="24"/>
          <w:szCs w:val="24"/>
        </w:rPr>
        <w:t xml:space="preserve">time.  It </w:t>
      </w:r>
      <w:r w:rsidR="0003362A" w:rsidRPr="000112A8">
        <w:rPr>
          <w:sz w:val="24"/>
          <w:szCs w:val="24"/>
        </w:rPr>
        <w:t xml:space="preserve">is important </w:t>
      </w:r>
      <w:r w:rsidR="00491979" w:rsidRPr="000112A8">
        <w:rPr>
          <w:sz w:val="24"/>
          <w:szCs w:val="24"/>
        </w:rPr>
        <w:t>a</w:t>
      </w:r>
      <w:r w:rsidR="0003362A" w:rsidRPr="000112A8">
        <w:rPr>
          <w:sz w:val="24"/>
          <w:szCs w:val="24"/>
        </w:rPr>
        <w:t>s that each person receiving the service is unique</w:t>
      </w:r>
      <w:r w:rsidR="00491979" w:rsidRPr="000112A8">
        <w:rPr>
          <w:sz w:val="24"/>
          <w:szCs w:val="24"/>
        </w:rPr>
        <w:t>,</w:t>
      </w:r>
      <w:r w:rsidR="0003362A" w:rsidRPr="000112A8">
        <w:rPr>
          <w:sz w:val="24"/>
          <w:szCs w:val="24"/>
        </w:rPr>
        <w:t xml:space="preserve"> they each have their own starting point and </w:t>
      </w:r>
      <w:r w:rsidR="00491979" w:rsidRPr="000112A8">
        <w:rPr>
          <w:sz w:val="24"/>
          <w:szCs w:val="24"/>
        </w:rPr>
        <w:t>to</w:t>
      </w:r>
      <w:r w:rsidR="0003362A" w:rsidRPr="000112A8">
        <w:rPr>
          <w:sz w:val="24"/>
          <w:szCs w:val="24"/>
        </w:rPr>
        <w:t xml:space="preserve"> serve them effectively</w:t>
      </w:r>
      <w:r w:rsidR="00491979" w:rsidRPr="000112A8">
        <w:rPr>
          <w:sz w:val="24"/>
          <w:szCs w:val="24"/>
        </w:rPr>
        <w:t>,</w:t>
      </w:r>
      <w:r w:rsidR="0003362A" w:rsidRPr="000112A8">
        <w:rPr>
          <w:sz w:val="24"/>
          <w:szCs w:val="24"/>
        </w:rPr>
        <w:t xml:space="preserve"> it is important to review their progress over time to assess the impact on Information Advice and Guidance on hard outcomes such as employment as well as softer outcomes such as confidence</w:t>
      </w:r>
      <w:r w:rsidR="00EE6C04" w:rsidRPr="000112A8">
        <w:rPr>
          <w:sz w:val="24"/>
          <w:szCs w:val="24"/>
        </w:rPr>
        <w:t>.</w:t>
      </w:r>
    </w:p>
    <w:p w14:paraId="7D7BAEA2" w14:textId="4ECD1D3C" w:rsidR="005F7A7F" w:rsidRPr="000112A8" w:rsidRDefault="005F7A7F" w:rsidP="00CA35D9">
      <w:pPr>
        <w:pStyle w:val="Bullet"/>
        <w:rPr>
          <w:sz w:val="24"/>
          <w:szCs w:val="24"/>
        </w:rPr>
      </w:pPr>
      <w:r w:rsidRPr="000112A8">
        <w:rPr>
          <w:b/>
          <w:bCs/>
          <w:sz w:val="24"/>
          <w:szCs w:val="24"/>
        </w:rPr>
        <w:t>Safeguarding</w:t>
      </w:r>
      <w:r w:rsidRPr="000112A8">
        <w:rPr>
          <w:sz w:val="24"/>
          <w:szCs w:val="24"/>
        </w:rPr>
        <w:t xml:space="preserve"> - was made more explicit, becoming a discre</w:t>
      </w:r>
      <w:r w:rsidR="00141E81" w:rsidRPr="000112A8">
        <w:rPr>
          <w:sz w:val="24"/>
          <w:szCs w:val="24"/>
        </w:rPr>
        <w:t>te</w:t>
      </w:r>
      <w:r w:rsidRPr="000112A8">
        <w:rPr>
          <w:sz w:val="24"/>
          <w:szCs w:val="24"/>
        </w:rPr>
        <w:t xml:space="preserve"> criterion rather than a guidance consideration</w:t>
      </w:r>
      <w:r w:rsidR="00183285" w:rsidRPr="000112A8">
        <w:rPr>
          <w:sz w:val="24"/>
          <w:szCs w:val="24"/>
        </w:rPr>
        <w:t>.</w:t>
      </w:r>
      <w:r w:rsidR="006A6C82" w:rsidRPr="000112A8">
        <w:rPr>
          <w:sz w:val="24"/>
          <w:szCs w:val="24"/>
        </w:rPr>
        <w:t xml:space="preserve"> </w:t>
      </w:r>
      <w:r w:rsidR="00491979" w:rsidRPr="000112A8">
        <w:rPr>
          <w:sz w:val="24"/>
          <w:szCs w:val="24"/>
        </w:rPr>
        <w:t xml:space="preserve"> The</w:t>
      </w:r>
      <w:r w:rsidR="00183285" w:rsidRPr="000112A8">
        <w:rPr>
          <w:sz w:val="24"/>
          <w:szCs w:val="24"/>
        </w:rPr>
        <w:t xml:space="preserve"> current </w:t>
      </w:r>
      <w:r w:rsidR="00E7458C" w:rsidRPr="000112A8">
        <w:rPr>
          <w:sz w:val="24"/>
          <w:szCs w:val="24"/>
        </w:rPr>
        <w:t>version of the</w:t>
      </w:r>
      <w:r w:rsidR="00F6260F" w:rsidRPr="000112A8">
        <w:rPr>
          <w:sz w:val="24"/>
          <w:szCs w:val="24"/>
        </w:rPr>
        <w:t xml:space="preserve"> Standard </w:t>
      </w:r>
      <w:r w:rsidR="00A83AEE" w:rsidRPr="000112A8">
        <w:rPr>
          <w:sz w:val="24"/>
          <w:szCs w:val="24"/>
        </w:rPr>
        <w:t xml:space="preserve">at </w:t>
      </w:r>
      <w:r w:rsidR="00BD4840" w:rsidRPr="000112A8">
        <w:rPr>
          <w:sz w:val="24"/>
          <w:szCs w:val="24"/>
        </w:rPr>
        <w:t xml:space="preserve">1.4 </w:t>
      </w:r>
      <w:r w:rsidR="00A83AEE" w:rsidRPr="000112A8">
        <w:rPr>
          <w:sz w:val="24"/>
          <w:szCs w:val="24"/>
        </w:rPr>
        <w:t>only requires the organisation to comply with</w:t>
      </w:r>
      <w:r w:rsidR="00BD4840" w:rsidRPr="000112A8">
        <w:rPr>
          <w:sz w:val="24"/>
          <w:szCs w:val="24"/>
        </w:rPr>
        <w:t xml:space="preserve"> legislation and it does not specify what this is.  </w:t>
      </w:r>
      <w:r w:rsidR="008D4A4D" w:rsidRPr="000112A8">
        <w:rPr>
          <w:sz w:val="24"/>
          <w:szCs w:val="24"/>
        </w:rPr>
        <w:t xml:space="preserve">Therefore, </w:t>
      </w:r>
      <w:r w:rsidR="003453A5" w:rsidRPr="000112A8">
        <w:rPr>
          <w:sz w:val="24"/>
          <w:szCs w:val="24"/>
        </w:rPr>
        <w:t>the new 1.3 was added to</w:t>
      </w:r>
      <w:r w:rsidR="00CD69A9" w:rsidRPr="000112A8">
        <w:rPr>
          <w:sz w:val="24"/>
          <w:szCs w:val="24"/>
        </w:rPr>
        <w:t xml:space="preserve"> make this explicit.</w:t>
      </w:r>
      <w:r w:rsidR="003453A5" w:rsidRPr="000112A8">
        <w:rPr>
          <w:sz w:val="24"/>
          <w:szCs w:val="24"/>
        </w:rPr>
        <w:t xml:space="preserve"> </w:t>
      </w:r>
      <w:r w:rsidR="00A83AEE" w:rsidRPr="000112A8">
        <w:rPr>
          <w:sz w:val="24"/>
          <w:szCs w:val="24"/>
        </w:rPr>
        <w:t xml:space="preserve"> </w:t>
      </w:r>
      <w:r w:rsidR="00E7458C" w:rsidRPr="000112A8">
        <w:rPr>
          <w:sz w:val="24"/>
          <w:szCs w:val="24"/>
        </w:rPr>
        <w:t xml:space="preserve"> </w:t>
      </w:r>
    </w:p>
    <w:p w14:paraId="0CE76D8C" w14:textId="5D66047C" w:rsidR="005F7A7F" w:rsidRPr="000112A8" w:rsidRDefault="005F7A7F" w:rsidP="00CA35D9">
      <w:pPr>
        <w:pStyle w:val="Bullet"/>
        <w:rPr>
          <w:sz w:val="24"/>
          <w:szCs w:val="24"/>
        </w:rPr>
      </w:pPr>
      <w:r w:rsidRPr="000112A8">
        <w:rPr>
          <w:b/>
          <w:bCs/>
          <w:sz w:val="24"/>
          <w:szCs w:val="24"/>
        </w:rPr>
        <w:t>Equity</w:t>
      </w:r>
      <w:r w:rsidR="00330436" w:rsidRPr="000112A8">
        <w:rPr>
          <w:b/>
          <w:bCs/>
          <w:sz w:val="24"/>
          <w:szCs w:val="24"/>
        </w:rPr>
        <w:t xml:space="preserve"> - </w:t>
      </w:r>
      <w:r w:rsidR="00330436" w:rsidRPr="000112A8">
        <w:rPr>
          <w:sz w:val="24"/>
          <w:szCs w:val="24"/>
        </w:rPr>
        <w:t>this</w:t>
      </w:r>
      <w:r w:rsidRPr="000112A8">
        <w:rPr>
          <w:sz w:val="24"/>
          <w:szCs w:val="24"/>
        </w:rPr>
        <w:t xml:space="preserve"> was given greater prominence as a discrete criterion.</w:t>
      </w:r>
      <w:r w:rsidR="00141E81" w:rsidRPr="000112A8">
        <w:rPr>
          <w:sz w:val="24"/>
          <w:szCs w:val="24"/>
        </w:rPr>
        <w:t xml:space="preserve"> </w:t>
      </w:r>
      <w:r w:rsidRPr="000112A8">
        <w:rPr>
          <w:sz w:val="24"/>
          <w:szCs w:val="24"/>
        </w:rPr>
        <w:t>This included</w:t>
      </w:r>
      <w:r w:rsidR="008E4082" w:rsidRPr="000112A8">
        <w:rPr>
          <w:sz w:val="24"/>
          <w:szCs w:val="24"/>
        </w:rPr>
        <w:t xml:space="preserve"> a</w:t>
      </w:r>
      <w:r w:rsidRPr="000112A8">
        <w:rPr>
          <w:sz w:val="24"/>
          <w:szCs w:val="24"/>
        </w:rPr>
        <w:t xml:space="preserve"> </w:t>
      </w:r>
      <w:r w:rsidR="002705A8" w:rsidRPr="000112A8">
        <w:rPr>
          <w:sz w:val="24"/>
          <w:szCs w:val="24"/>
        </w:rPr>
        <w:t>requirement</w:t>
      </w:r>
      <w:r w:rsidRPr="000112A8">
        <w:rPr>
          <w:sz w:val="24"/>
          <w:szCs w:val="24"/>
        </w:rPr>
        <w:t xml:space="preserve"> to achieve </w:t>
      </w:r>
      <w:r w:rsidR="008E4082" w:rsidRPr="000112A8">
        <w:rPr>
          <w:sz w:val="24"/>
          <w:szCs w:val="24"/>
        </w:rPr>
        <w:t>parity</w:t>
      </w:r>
      <w:r w:rsidRPr="000112A8">
        <w:rPr>
          <w:sz w:val="24"/>
          <w:szCs w:val="24"/>
        </w:rPr>
        <w:t xml:space="preserve"> of outcomes amongst diverse groups and </w:t>
      </w:r>
      <w:r w:rsidR="008E4082" w:rsidRPr="000112A8">
        <w:rPr>
          <w:sz w:val="24"/>
          <w:szCs w:val="24"/>
        </w:rPr>
        <w:t xml:space="preserve">it is </w:t>
      </w:r>
      <w:r w:rsidRPr="000112A8">
        <w:rPr>
          <w:sz w:val="24"/>
          <w:szCs w:val="24"/>
        </w:rPr>
        <w:t xml:space="preserve">included in the </w:t>
      </w:r>
      <w:hyperlink w:anchor="_Appendix_7-_Glossary">
        <w:r w:rsidRPr="000112A8">
          <w:rPr>
            <w:rStyle w:val="Hyperlink"/>
            <w:sz w:val="24"/>
            <w:szCs w:val="24"/>
          </w:rPr>
          <w:t>glossary</w:t>
        </w:r>
      </w:hyperlink>
      <w:r w:rsidRPr="000112A8">
        <w:rPr>
          <w:sz w:val="24"/>
          <w:szCs w:val="24"/>
        </w:rPr>
        <w:t>.</w:t>
      </w:r>
    </w:p>
    <w:p w14:paraId="3473B4CC" w14:textId="7B09BF73" w:rsidR="00EE0831" w:rsidRPr="000112A8" w:rsidRDefault="005F7A7F" w:rsidP="00CA35D9">
      <w:pPr>
        <w:pStyle w:val="Bullet"/>
        <w:rPr>
          <w:sz w:val="24"/>
          <w:szCs w:val="24"/>
        </w:rPr>
      </w:pPr>
      <w:r w:rsidRPr="000112A8">
        <w:rPr>
          <w:b/>
          <w:bCs/>
          <w:sz w:val="24"/>
          <w:szCs w:val="24"/>
        </w:rPr>
        <w:t>A Solid Evidence Base</w:t>
      </w:r>
      <w:r w:rsidRPr="000112A8">
        <w:rPr>
          <w:sz w:val="24"/>
          <w:szCs w:val="24"/>
        </w:rPr>
        <w:t xml:space="preserve"> </w:t>
      </w:r>
      <w:r w:rsidR="00B30064" w:rsidRPr="000112A8">
        <w:rPr>
          <w:sz w:val="24"/>
          <w:szCs w:val="24"/>
        </w:rPr>
        <w:t xml:space="preserve">- </w:t>
      </w:r>
      <w:r w:rsidRPr="000112A8">
        <w:rPr>
          <w:sz w:val="24"/>
          <w:szCs w:val="24"/>
        </w:rPr>
        <w:t>to support practice was added to the Continuous Improvement area</w:t>
      </w:r>
      <w:r w:rsidR="00EE0831" w:rsidRPr="000112A8">
        <w:rPr>
          <w:sz w:val="24"/>
          <w:szCs w:val="24"/>
        </w:rPr>
        <w:t>.</w:t>
      </w:r>
    </w:p>
    <w:p w14:paraId="476B7380" w14:textId="74CC904B" w:rsidR="005F7A7F" w:rsidRPr="000112A8" w:rsidRDefault="005F7A7F" w:rsidP="00CA35D9">
      <w:pPr>
        <w:pStyle w:val="Bullet"/>
        <w:rPr>
          <w:sz w:val="24"/>
          <w:szCs w:val="24"/>
        </w:rPr>
      </w:pPr>
      <w:r w:rsidRPr="000112A8">
        <w:rPr>
          <w:b/>
          <w:bCs/>
          <w:sz w:val="24"/>
          <w:szCs w:val="24"/>
        </w:rPr>
        <w:t>Flexibility</w:t>
      </w:r>
      <w:r w:rsidRPr="000112A8">
        <w:rPr>
          <w:sz w:val="24"/>
          <w:szCs w:val="24"/>
        </w:rPr>
        <w:t xml:space="preserve"> </w:t>
      </w:r>
      <w:r w:rsidR="00B30064" w:rsidRPr="000112A8">
        <w:rPr>
          <w:sz w:val="24"/>
          <w:szCs w:val="24"/>
        </w:rPr>
        <w:t>-</w:t>
      </w:r>
      <w:r w:rsidRPr="000112A8">
        <w:rPr>
          <w:sz w:val="24"/>
          <w:szCs w:val="24"/>
        </w:rPr>
        <w:t xml:space="preserve"> to apply the</w:t>
      </w:r>
      <w:r w:rsidRPr="000112A8">
        <w:rPr>
          <w:b/>
          <w:bCs/>
          <w:sz w:val="24"/>
          <w:szCs w:val="24"/>
        </w:rPr>
        <w:t xml:space="preserve"> </w:t>
      </w:r>
      <w:r w:rsidRPr="000112A8">
        <w:rPr>
          <w:sz w:val="24"/>
          <w:szCs w:val="24"/>
        </w:rPr>
        <w:t>Standard in a range of different sectors and contexts, was maintained ensuring it does not ‘talk’ to only one sector</w:t>
      </w:r>
      <w:r w:rsidR="00141E81" w:rsidRPr="000112A8">
        <w:rPr>
          <w:sz w:val="24"/>
          <w:szCs w:val="24"/>
        </w:rPr>
        <w:t>.</w:t>
      </w:r>
    </w:p>
    <w:p w14:paraId="003AC2E8" w14:textId="2166F3A1" w:rsidR="005F7A7F" w:rsidRPr="000112A8" w:rsidRDefault="008E4082" w:rsidP="00CA35D9">
      <w:pPr>
        <w:pStyle w:val="Bullet"/>
        <w:rPr>
          <w:sz w:val="24"/>
          <w:szCs w:val="24"/>
        </w:rPr>
      </w:pPr>
      <w:r w:rsidRPr="000112A8">
        <w:rPr>
          <w:b/>
          <w:bCs/>
          <w:sz w:val="24"/>
          <w:szCs w:val="24"/>
        </w:rPr>
        <w:t xml:space="preserve">Clear </w:t>
      </w:r>
      <w:r w:rsidR="005F7A7F" w:rsidRPr="000112A8">
        <w:rPr>
          <w:b/>
          <w:bCs/>
          <w:sz w:val="24"/>
          <w:szCs w:val="24"/>
        </w:rPr>
        <w:t>Values</w:t>
      </w:r>
      <w:r w:rsidR="005F7A7F" w:rsidRPr="000112A8">
        <w:rPr>
          <w:sz w:val="24"/>
          <w:szCs w:val="24"/>
        </w:rPr>
        <w:t xml:space="preserve"> </w:t>
      </w:r>
      <w:r w:rsidR="00B30064" w:rsidRPr="000112A8">
        <w:rPr>
          <w:sz w:val="24"/>
          <w:szCs w:val="24"/>
        </w:rPr>
        <w:t xml:space="preserve">- </w:t>
      </w:r>
      <w:r w:rsidR="005F7A7F" w:rsidRPr="000112A8">
        <w:rPr>
          <w:sz w:val="24"/>
          <w:szCs w:val="24"/>
        </w:rPr>
        <w:t>of those delivering IAG w</w:t>
      </w:r>
      <w:r w:rsidR="00B1288B" w:rsidRPr="000112A8">
        <w:rPr>
          <w:sz w:val="24"/>
          <w:szCs w:val="24"/>
        </w:rPr>
        <w:t>ere added</w:t>
      </w:r>
      <w:r w:rsidR="002248BC" w:rsidRPr="000112A8">
        <w:rPr>
          <w:sz w:val="24"/>
          <w:szCs w:val="24"/>
        </w:rPr>
        <w:t>,</w:t>
      </w:r>
      <w:r w:rsidR="005F7A7F" w:rsidRPr="000112A8">
        <w:rPr>
          <w:sz w:val="24"/>
          <w:szCs w:val="24"/>
        </w:rPr>
        <w:t xml:space="preserve"> such as confidentiality and impartiality.</w:t>
      </w:r>
    </w:p>
    <w:p w14:paraId="6953E3BE" w14:textId="34DC78FF" w:rsidR="005F7A7F" w:rsidRPr="000112A8" w:rsidRDefault="005F7A7F" w:rsidP="00CA35D9">
      <w:pPr>
        <w:pStyle w:val="Bullet"/>
        <w:rPr>
          <w:sz w:val="24"/>
          <w:szCs w:val="24"/>
        </w:rPr>
      </w:pPr>
      <w:r w:rsidRPr="000112A8">
        <w:rPr>
          <w:b/>
          <w:bCs/>
          <w:sz w:val="24"/>
          <w:szCs w:val="24"/>
        </w:rPr>
        <w:t>Guidance</w:t>
      </w:r>
      <w:r w:rsidRPr="000112A8">
        <w:rPr>
          <w:sz w:val="24"/>
          <w:szCs w:val="24"/>
        </w:rPr>
        <w:t xml:space="preserve"> - </w:t>
      </w:r>
      <w:r w:rsidR="00B1288B" w:rsidRPr="000112A8">
        <w:rPr>
          <w:sz w:val="24"/>
          <w:szCs w:val="24"/>
        </w:rPr>
        <w:t>Identifying</w:t>
      </w:r>
      <w:r w:rsidRPr="000112A8">
        <w:rPr>
          <w:sz w:val="24"/>
          <w:szCs w:val="24"/>
        </w:rPr>
        <w:t xml:space="preserve"> the touchpoints to the Gatsby Benchmarks and Ofsted</w:t>
      </w:r>
      <w:r w:rsidR="005E28F5" w:rsidRPr="000112A8">
        <w:rPr>
          <w:sz w:val="24"/>
          <w:szCs w:val="24"/>
        </w:rPr>
        <w:t xml:space="preserve"> Education</w:t>
      </w:r>
      <w:r w:rsidRPr="000112A8">
        <w:rPr>
          <w:sz w:val="24"/>
          <w:szCs w:val="24"/>
        </w:rPr>
        <w:t xml:space="preserve"> Inspection Framework were developed.</w:t>
      </w:r>
    </w:p>
    <w:p w14:paraId="5254E955" w14:textId="154096C0" w:rsidR="005F7A7F" w:rsidRPr="000112A8" w:rsidRDefault="005F7A7F" w:rsidP="00CA35D9">
      <w:pPr>
        <w:pStyle w:val="Bullet"/>
        <w:rPr>
          <w:sz w:val="24"/>
          <w:szCs w:val="24"/>
        </w:rPr>
      </w:pPr>
      <w:r w:rsidRPr="000112A8">
        <w:rPr>
          <w:b/>
          <w:bCs/>
          <w:sz w:val="24"/>
          <w:szCs w:val="24"/>
        </w:rPr>
        <w:t>Hard and Soft Outcomes</w:t>
      </w:r>
      <w:r w:rsidRPr="000112A8">
        <w:rPr>
          <w:sz w:val="24"/>
          <w:szCs w:val="24"/>
        </w:rPr>
        <w:t xml:space="preserve"> - were acknowledge</w:t>
      </w:r>
      <w:r w:rsidR="006B2956" w:rsidRPr="000112A8">
        <w:rPr>
          <w:sz w:val="24"/>
          <w:szCs w:val="24"/>
        </w:rPr>
        <w:t>d</w:t>
      </w:r>
      <w:r w:rsidRPr="000112A8">
        <w:rPr>
          <w:sz w:val="24"/>
          <w:szCs w:val="24"/>
        </w:rPr>
        <w:t xml:space="preserve"> as a range of possible IAG outcomes</w:t>
      </w:r>
      <w:r w:rsidR="00475212" w:rsidRPr="000112A8">
        <w:rPr>
          <w:sz w:val="24"/>
          <w:szCs w:val="24"/>
        </w:rPr>
        <w:t>.</w:t>
      </w:r>
      <w:r w:rsidRPr="000112A8">
        <w:rPr>
          <w:sz w:val="24"/>
          <w:szCs w:val="24"/>
        </w:rPr>
        <w:t xml:space="preserve"> </w:t>
      </w:r>
    </w:p>
    <w:p w14:paraId="1E884D07" w14:textId="6EEFC14A" w:rsidR="005F7A7F" w:rsidRPr="000112A8" w:rsidRDefault="005F7A7F" w:rsidP="00CA35D9">
      <w:pPr>
        <w:pStyle w:val="Bullet"/>
        <w:rPr>
          <w:sz w:val="24"/>
          <w:szCs w:val="24"/>
        </w:rPr>
      </w:pPr>
      <w:r w:rsidRPr="000112A8">
        <w:rPr>
          <w:b/>
          <w:bCs/>
          <w:sz w:val="24"/>
          <w:szCs w:val="24"/>
        </w:rPr>
        <w:t>Plain English</w:t>
      </w:r>
      <w:r w:rsidRPr="000112A8">
        <w:rPr>
          <w:sz w:val="24"/>
          <w:szCs w:val="24"/>
        </w:rPr>
        <w:t xml:space="preserve"> -</w:t>
      </w:r>
      <w:r w:rsidR="00475212" w:rsidRPr="000112A8">
        <w:rPr>
          <w:sz w:val="24"/>
          <w:szCs w:val="24"/>
        </w:rPr>
        <w:t xml:space="preserve"> </w:t>
      </w:r>
      <w:r w:rsidRPr="000112A8">
        <w:rPr>
          <w:sz w:val="24"/>
          <w:szCs w:val="24"/>
        </w:rPr>
        <w:t>guidance from the Plain English Campaign was used to ensure clear language</w:t>
      </w:r>
      <w:r w:rsidR="00141E81" w:rsidRPr="000112A8">
        <w:rPr>
          <w:sz w:val="24"/>
          <w:szCs w:val="24"/>
        </w:rPr>
        <w:t>.</w:t>
      </w:r>
    </w:p>
    <w:p w14:paraId="55EBC5FB" w14:textId="60B963E2" w:rsidR="00EE0831" w:rsidRPr="000112A8" w:rsidRDefault="00FA5667" w:rsidP="000B550F">
      <w:pPr>
        <w:keepNext/>
        <w:rPr>
          <w:rFonts w:cs="Arial"/>
          <w:sz w:val="24"/>
        </w:rPr>
      </w:pPr>
      <w:r w:rsidRPr="000112A8">
        <w:rPr>
          <w:rFonts w:cs="Arial"/>
          <w:sz w:val="24"/>
        </w:rPr>
        <w:t xml:space="preserve">The </w:t>
      </w:r>
      <w:r w:rsidR="0059349B" w:rsidRPr="000112A8">
        <w:rPr>
          <w:rFonts w:cs="Arial"/>
          <w:sz w:val="24"/>
        </w:rPr>
        <w:t>a</w:t>
      </w:r>
      <w:r w:rsidRPr="000112A8">
        <w:rPr>
          <w:rFonts w:cs="Arial"/>
          <w:sz w:val="24"/>
        </w:rPr>
        <w:t xml:space="preserve">lpha version was </w:t>
      </w:r>
      <w:r w:rsidR="00D61E8D" w:rsidRPr="000112A8">
        <w:rPr>
          <w:rFonts w:cs="Arial"/>
          <w:sz w:val="24"/>
        </w:rPr>
        <w:t xml:space="preserve">then taken to </w:t>
      </w:r>
      <w:r w:rsidR="0059349B" w:rsidRPr="000112A8">
        <w:rPr>
          <w:rFonts w:cs="Arial"/>
          <w:sz w:val="24"/>
        </w:rPr>
        <w:t xml:space="preserve">the </w:t>
      </w:r>
      <w:r w:rsidR="00D61E8D" w:rsidRPr="000112A8">
        <w:rPr>
          <w:rFonts w:cs="Arial"/>
          <w:sz w:val="24"/>
        </w:rPr>
        <w:t>wider Executive Group</w:t>
      </w:r>
      <w:r w:rsidR="0059349B" w:rsidRPr="000112A8">
        <w:rPr>
          <w:rFonts w:cs="Arial"/>
          <w:sz w:val="24"/>
        </w:rPr>
        <w:t xml:space="preserve">, </w:t>
      </w:r>
      <w:r w:rsidR="00D61E8D" w:rsidRPr="000112A8">
        <w:rPr>
          <w:rFonts w:cs="Arial"/>
          <w:sz w:val="24"/>
        </w:rPr>
        <w:t xml:space="preserve">the Department for Education and the Advisory Group. </w:t>
      </w:r>
      <w:r w:rsidR="00EF4FAE" w:rsidRPr="000112A8">
        <w:rPr>
          <w:rFonts w:cs="Arial"/>
          <w:sz w:val="24"/>
        </w:rPr>
        <w:t xml:space="preserve">Following feedback from these </w:t>
      </w:r>
      <w:r w:rsidR="0059349B" w:rsidRPr="000112A8">
        <w:rPr>
          <w:rFonts w:cs="Arial"/>
          <w:sz w:val="24"/>
        </w:rPr>
        <w:t>groups</w:t>
      </w:r>
      <w:r w:rsidR="00EF4FAE" w:rsidRPr="000112A8">
        <w:rPr>
          <w:rFonts w:cs="Arial"/>
          <w:sz w:val="24"/>
        </w:rPr>
        <w:t xml:space="preserve"> further changes were made</w:t>
      </w:r>
      <w:r w:rsidR="00EE0831" w:rsidRPr="000112A8">
        <w:rPr>
          <w:rFonts w:cs="Arial"/>
          <w:sz w:val="24"/>
        </w:rPr>
        <w:t>.</w:t>
      </w:r>
    </w:p>
    <w:p w14:paraId="4339B5AF" w14:textId="77777777" w:rsidR="00284773" w:rsidRPr="000112A8" w:rsidRDefault="00284773" w:rsidP="000B550F">
      <w:pPr>
        <w:keepNext/>
        <w:rPr>
          <w:rFonts w:cs="Arial"/>
          <w:sz w:val="24"/>
        </w:rPr>
      </w:pPr>
    </w:p>
    <w:p w14:paraId="50B32B71" w14:textId="7D777694" w:rsidR="008C5C38" w:rsidRPr="000112A8" w:rsidRDefault="00D2116E" w:rsidP="00CA35D9">
      <w:pPr>
        <w:pStyle w:val="Bullet"/>
        <w:rPr>
          <w:sz w:val="24"/>
          <w:szCs w:val="24"/>
        </w:rPr>
      </w:pPr>
      <w:r w:rsidRPr="000112A8">
        <w:rPr>
          <w:sz w:val="24"/>
          <w:szCs w:val="24"/>
        </w:rPr>
        <w:t xml:space="preserve">The </w:t>
      </w:r>
      <w:r w:rsidR="00DA55EA" w:rsidRPr="000112A8">
        <w:rPr>
          <w:sz w:val="24"/>
          <w:szCs w:val="24"/>
        </w:rPr>
        <w:t>‘</w:t>
      </w:r>
      <w:r w:rsidR="000D0EF8" w:rsidRPr="000112A8">
        <w:rPr>
          <w:sz w:val="24"/>
          <w:szCs w:val="24"/>
        </w:rPr>
        <w:t>Con</w:t>
      </w:r>
      <w:r w:rsidR="00DA55EA" w:rsidRPr="000112A8">
        <w:rPr>
          <w:sz w:val="24"/>
          <w:szCs w:val="24"/>
        </w:rPr>
        <w:t xml:space="preserve">text’ element in the </w:t>
      </w:r>
      <w:r w:rsidR="00D12D4A" w:rsidRPr="000112A8">
        <w:rPr>
          <w:sz w:val="24"/>
          <w:szCs w:val="24"/>
        </w:rPr>
        <w:t>a</w:t>
      </w:r>
      <w:r w:rsidR="00DA55EA" w:rsidRPr="000112A8">
        <w:rPr>
          <w:sz w:val="24"/>
          <w:szCs w:val="24"/>
        </w:rPr>
        <w:t xml:space="preserve">lpha </w:t>
      </w:r>
      <w:r w:rsidR="001E7643" w:rsidRPr="000112A8">
        <w:rPr>
          <w:sz w:val="24"/>
          <w:szCs w:val="24"/>
        </w:rPr>
        <w:t>v</w:t>
      </w:r>
      <w:r w:rsidR="00DA55EA" w:rsidRPr="000112A8">
        <w:rPr>
          <w:sz w:val="24"/>
          <w:szCs w:val="24"/>
        </w:rPr>
        <w:t xml:space="preserve">ersion was </w:t>
      </w:r>
      <w:r w:rsidR="00C11DFE" w:rsidRPr="000112A8">
        <w:rPr>
          <w:sz w:val="24"/>
          <w:szCs w:val="24"/>
        </w:rPr>
        <w:t>viewed as</w:t>
      </w:r>
      <w:r w:rsidR="006B4A2F" w:rsidRPr="000112A8">
        <w:rPr>
          <w:sz w:val="24"/>
          <w:szCs w:val="24"/>
        </w:rPr>
        <w:t xml:space="preserve"> unclear by some organisations</w:t>
      </w:r>
      <w:r w:rsidR="00EE0831" w:rsidRPr="000112A8">
        <w:rPr>
          <w:sz w:val="24"/>
          <w:szCs w:val="24"/>
        </w:rPr>
        <w:t xml:space="preserve">. </w:t>
      </w:r>
      <w:r w:rsidR="006B4A2F" w:rsidRPr="000112A8">
        <w:rPr>
          <w:sz w:val="24"/>
          <w:szCs w:val="24"/>
        </w:rPr>
        <w:t xml:space="preserve">It was therefore renamed ‘Purpose’ as this was </w:t>
      </w:r>
      <w:r w:rsidR="00907FBB" w:rsidRPr="000112A8">
        <w:rPr>
          <w:sz w:val="24"/>
          <w:szCs w:val="24"/>
        </w:rPr>
        <w:t>modern and reflected that organisations need to understand the purpose</w:t>
      </w:r>
      <w:r w:rsidR="008C5C38" w:rsidRPr="000112A8">
        <w:rPr>
          <w:sz w:val="24"/>
          <w:szCs w:val="24"/>
        </w:rPr>
        <w:t xml:space="preserve"> of the IAG service </w:t>
      </w:r>
      <w:r w:rsidR="00E175F3" w:rsidRPr="000112A8">
        <w:rPr>
          <w:sz w:val="24"/>
          <w:szCs w:val="24"/>
        </w:rPr>
        <w:t xml:space="preserve">and how it serves </w:t>
      </w:r>
      <w:r w:rsidR="00B34716" w:rsidRPr="000112A8">
        <w:rPr>
          <w:sz w:val="24"/>
          <w:szCs w:val="24"/>
        </w:rPr>
        <w:t>the recipients</w:t>
      </w:r>
      <w:r w:rsidR="008C5C38" w:rsidRPr="000112A8">
        <w:rPr>
          <w:sz w:val="24"/>
          <w:szCs w:val="24"/>
        </w:rPr>
        <w:t>.</w:t>
      </w:r>
    </w:p>
    <w:p w14:paraId="2D4E68AB" w14:textId="63249D64" w:rsidR="005968E2" w:rsidRPr="000112A8" w:rsidRDefault="00D92776" w:rsidP="00CA35D9">
      <w:pPr>
        <w:pStyle w:val="Bullet"/>
        <w:rPr>
          <w:sz w:val="24"/>
          <w:szCs w:val="24"/>
        </w:rPr>
      </w:pPr>
      <w:r w:rsidRPr="000112A8">
        <w:rPr>
          <w:sz w:val="24"/>
          <w:szCs w:val="24"/>
        </w:rPr>
        <w:t>The</w:t>
      </w:r>
      <w:r w:rsidR="001D6D2C" w:rsidRPr="000112A8">
        <w:rPr>
          <w:sz w:val="24"/>
          <w:szCs w:val="24"/>
        </w:rPr>
        <w:t xml:space="preserve"> </w:t>
      </w:r>
      <w:r w:rsidRPr="000112A8">
        <w:rPr>
          <w:sz w:val="24"/>
          <w:szCs w:val="24"/>
        </w:rPr>
        <w:t>structure of the elements in the alpha version had been designed to replicate the</w:t>
      </w:r>
      <w:r w:rsidR="001D6D2C" w:rsidRPr="000112A8">
        <w:rPr>
          <w:sz w:val="24"/>
          <w:szCs w:val="24"/>
        </w:rPr>
        <w:t xml:space="preserve"> </w:t>
      </w:r>
      <w:r w:rsidR="000D079F" w:rsidRPr="000112A8">
        <w:rPr>
          <w:sz w:val="24"/>
          <w:szCs w:val="24"/>
        </w:rPr>
        <w:t xml:space="preserve">plan, do, review </w:t>
      </w:r>
      <w:r w:rsidRPr="000112A8">
        <w:rPr>
          <w:sz w:val="24"/>
          <w:szCs w:val="24"/>
        </w:rPr>
        <w:t>process, but two elements</w:t>
      </w:r>
      <w:r w:rsidR="000D079F" w:rsidRPr="000112A8">
        <w:rPr>
          <w:sz w:val="24"/>
          <w:szCs w:val="24"/>
        </w:rPr>
        <w:t xml:space="preserve"> </w:t>
      </w:r>
      <w:r w:rsidRPr="000112A8">
        <w:rPr>
          <w:sz w:val="24"/>
          <w:szCs w:val="24"/>
        </w:rPr>
        <w:t>(</w:t>
      </w:r>
      <w:r w:rsidR="000D079F" w:rsidRPr="000112A8">
        <w:rPr>
          <w:sz w:val="24"/>
          <w:szCs w:val="24"/>
        </w:rPr>
        <w:t>‘Resources’ and ‘Continuous Improvement’</w:t>
      </w:r>
      <w:r w:rsidRPr="000112A8">
        <w:rPr>
          <w:sz w:val="24"/>
          <w:szCs w:val="24"/>
        </w:rPr>
        <w:t>)</w:t>
      </w:r>
      <w:r w:rsidR="000D079F" w:rsidRPr="000112A8">
        <w:rPr>
          <w:sz w:val="24"/>
          <w:szCs w:val="24"/>
        </w:rPr>
        <w:t xml:space="preserve"> sat outside of </w:t>
      </w:r>
      <w:r w:rsidRPr="000112A8">
        <w:rPr>
          <w:sz w:val="24"/>
          <w:szCs w:val="24"/>
        </w:rPr>
        <w:t>that</w:t>
      </w:r>
      <w:r w:rsidR="000D079F" w:rsidRPr="000112A8">
        <w:rPr>
          <w:sz w:val="24"/>
          <w:szCs w:val="24"/>
        </w:rPr>
        <w:t xml:space="preserve"> structure</w:t>
      </w:r>
      <w:r w:rsidR="00A1276C" w:rsidRPr="000112A8">
        <w:rPr>
          <w:sz w:val="24"/>
          <w:szCs w:val="24"/>
        </w:rPr>
        <w:t xml:space="preserve"> on the visuals</w:t>
      </w:r>
      <w:r w:rsidR="000D079F" w:rsidRPr="000112A8">
        <w:rPr>
          <w:sz w:val="24"/>
          <w:szCs w:val="24"/>
        </w:rPr>
        <w:t>.</w:t>
      </w:r>
      <w:r w:rsidRPr="000112A8">
        <w:rPr>
          <w:sz w:val="24"/>
          <w:szCs w:val="24"/>
        </w:rPr>
        <w:t xml:space="preserve"> </w:t>
      </w:r>
      <w:r w:rsidR="000D079F" w:rsidRPr="000112A8">
        <w:rPr>
          <w:sz w:val="24"/>
          <w:szCs w:val="24"/>
        </w:rPr>
        <w:t>This was seen as confusing</w:t>
      </w:r>
      <w:r w:rsidRPr="000112A8">
        <w:rPr>
          <w:sz w:val="24"/>
          <w:szCs w:val="24"/>
        </w:rPr>
        <w:t xml:space="preserve">, </w:t>
      </w:r>
      <w:r w:rsidR="00CD1BFB" w:rsidRPr="000112A8">
        <w:rPr>
          <w:sz w:val="24"/>
          <w:szCs w:val="24"/>
        </w:rPr>
        <w:t>so</w:t>
      </w:r>
      <w:r w:rsidR="000D079F" w:rsidRPr="000112A8">
        <w:rPr>
          <w:sz w:val="24"/>
          <w:szCs w:val="24"/>
        </w:rPr>
        <w:t xml:space="preserve"> </w:t>
      </w:r>
      <w:r w:rsidRPr="000112A8">
        <w:rPr>
          <w:sz w:val="24"/>
          <w:szCs w:val="24"/>
        </w:rPr>
        <w:t xml:space="preserve">we redesigned the structure </w:t>
      </w:r>
      <w:r w:rsidR="00164AED" w:rsidRPr="000112A8">
        <w:rPr>
          <w:sz w:val="24"/>
          <w:szCs w:val="24"/>
        </w:rPr>
        <w:t xml:space="preserve">to </w:t>
      </w:r>
      <w:r w:rsidR="00284773" w:rsidRPr="000112A8">
        <w:rPr>
          <w:sz w:val="24"/>
          <w:szCs w:val="24"/>
        </w:rPr>
        <w:t>ensure that</w:t>
      </w:r>
      <w:r w:rsidRPr="000112A8">
        <w:rPr>
          <w:sz w:val="24"/>
          <w:szCs w:val="24"/>
        </w:rPr>
        <w:t xml:space="preserve"> all elements were seen to be within the plan, do, review structure.</w:t>
      </w:r>
    </w:p>
    <w:p w14:paraId="0A046722" w14:textId="437E27CB" w:rsidR="00AA2B32" w:rsidRPr="000112A8" w:rsidRDefault="00D92776" w:rsidP="00CA35D9">
      <w:pPr>
        <w:pStyle w:val="Bullet"/>
        <w:rPr>
          <w:sz w:val="24"/>
          <w:szCs w:val="24"/>
        </w:rPr>
      </w:pPr>
      <w:r w:rsidRPr="000112A8">
        <w:rPr>
          <w:sz w:val="24"/>
          <w:szCs w:val="24"/>
        </w:rPr>
        <w:t>T</w:t>
      </w:r>
      <w:r w:rsidR="00327E8D" w:rsidRPr="000112A8">
        <w:rPr>
          <w:sz w:val="24"/>
          <w:szCs w:val="24"/>
        </w:rPr>
        <w:t xml:space="preserve">he </w:t>
      </w:r>
      <w:r w:rsidR="006A1817" w:rsidRPr="000112A8">
        <w:rPr>
          <w:sz w:val="24"/>
          <w:szCs w:val="24"/>
        </w:rPr>
        <w:t>‘</w:t>
      </w:r>
      <w:r w:rsidR="0059349B" w:rsidRPr="000112A8">
        <w:rPr>
          <w:sz w:val="24"/>
          <w:szCs w:val="24"/>
        </w:rPr>
        <w:t>R</w:t>
      </w:r>
      <w:r w:rsidR="009650A7" w:rsidRPr="000112A8">
        <w:rPr>
          <w:sz w:val="24"/>
          <w:szCs w:val="24"/>
        </w:rPr>
        <w:t>esources</w:t>
      </w:r>
      <w:r w:rsidR="006A1817" w:rsidRPr="000112A8">
        <w:rPr>
          <w:sz w:val="24"/>
          <w:szCs w:val="24"/>
        </w:rPr>
        <w:t>’</w:t>
      </w:r>
      <w:r w:rsidR="00327E8D" w:rsidRPr="000112A8">
        <w:rPr>
          <w:sz w:val="24"/>
          <w:szCs w:val="24"/>
        </w:rPr>
        <w:t xml:space="preserve"> </w:t>
      </w:r>
      <w:r w:rsidR="0059349B" w:rsidRPr="000112A8">
        <w:rPr>
          <w:sz w:val="24"/>
          <w:szCs w:val="24"/>
        </w:rPr>
        <w:t>element</w:t>
      </w:r>
      <w:r w:rsidR="00327E8D" w:rsidRPr="000112A8">
        <w:rPr>
          <w:sz w:val="24"/>
          <w:szCs w:val="24"/>
        </w:rPr>
        <w:t xml:space="preserve"> w</w:t>
      </w:r>
      <w:r w:rsidR="005968E2" w:rsidRPr="000112A8">
        <w:rPr>
          <w:sz w:val="24"/>
          <w:szCs w:val="24"/>
        </w:rPr>
        <w:t>as</w:t>
      </w:r>
      <w:r w:rsidR="00327E8D" w:rsidRPr="000112A8">
        <w:rPr>
          <w:sz w:val="24"/>
          <w:szCs w:val="24"/>
        </w:rPr>
        <w:t xml:space="preserve"> too long</w:t>
      </w:r>
      <w:r w:rsidR="004403AD" w:rsidRPr="000112A8">
        <w:rPr>
          <w:sz w:val="24"/>
          <w:szCs w:val="24"/>
        </w:rPr>
        <w:t>,</w:t>
      </w:r>
      <w:r w:rsidR="00327E8D" w:rsidRPr="000112A8">
        <w:rPr>
          <w:sz w:val="24"/>
          <w:szCs w:val="24"/>
        </w:rPr>
        <w:t xml:space="preserve"> </w:t>
      </w:r>
      <w:r w:rsidR="00FB325A" w:rsidRPr="000112A8">
        <w:rPr>
          <w:sz w:val="24"/>
          <w:szCs w:val="24"/>
        </w:rPr>
        <w:t xml:space="preserve">it was the only </w:t>
      </w:r>
      <w:r w:rsidR="0025153D" w:rsidRPr="000112A8">
        <w:rPr>
          <w:sz w:val="24"/>
          <w:szCs w:val="24"/>
        </w:rPr>
        <w:t>element</w:t>
      </w:r>
      <w:r w:rsidR="00FB325A" w:rsidRPr="000112A8">
        <w:rPr>
          <w:sz w:val="24"/>
          <w:szCs w:val="24"/>
        </w:rPr>
        <w:t xml:space="preserve"> in the Alpha version that had to be broken down into sub-</w:t>
      </w:r>
      <w:r w:rsidR="002701BA" w:rsidRPr="000112A8">
        <w:rPr>
          <w:sz w:val="24"/>
          <w:szCs w:val="24"/>
        </w:rPr>
        <w:t>sections</w:t>
      </w:r>
      <w:r w:rsidR="0025153D" w:rsidRPr="000112A8">
        <w:rPr>
          <w:sz w:val="24"/>
          <w:szCs w:val="24"/>
        </w:rPr>
        <w:t xml:space="preserve"> of which there were five</w:t>
      </w:r>
      <w:r w:rsidR="00BE5530" w:rsidRPr="000112A8">
        <w:rPr>
          <w:sz w:val="24"/>
          <w:szCs w:val="24"/>
        </w:rPr>
        <w:t xml:space="preserve"> </w:t>
      </w:r>
      <w:r w:rsidR="004403AD" w:rsidRPr="000112A8">
        <w:rPr>
          <w:sz w:val="24"/>
          <w:szCs w:val="24"/>
        </w:rPr>
        <w:t xml:space="preserve">covering </w:t>
      </w:r>
      <w:r w:rsidR="006D72C0" w:rsidRPr="000112A8">
        <w:rPr>
          <w:sz w:val="24"/>
          <w:szCs w:val="24"/>
        </w:rPr>
        <w:t xml:space="preserve">competencies, </w:t>
      </w:r>
      <w:r w:rsidR="00024419" w:rsidRPr="000112A8">
        <w:rPr>
          <w:sz w:val="24"/>
          <w:szCs w:val="24"/>
        </w:rPr>
        <w:t>information</w:t>
      </w:r>
      <w:r w:rsidR="006C709E" w:rsidRPr="000112A8">
        <w:rPr>
          <w:sz w:val="24"/>
          <w:szCs w:val="24"/>
        </w:rPr>
        <w:t>, partnerships and networks, policy and procedures</w:t>
      </w:r>
      <w:r w:rsidR="00671C7C" w:rsidRPr="000112A8">
        <w:rPr>
          <w:sz w:val="24"/>
          <w:szCs w:val="24"/>
        </w:rPr>
        <w:t xml:space="preserve"> and premises and </w:t>
      </w:r>
      <w:r w:rsidR="004403AD" w:rsidRPr="000112A8">
        <w:rPr>
          <w:sz w:val="24"/>
          <w:szCs w:val="24"/>
        </w:rPr>
        <w:t xml:space="preserve">equipment. </w:t>
      </w:r>
      <w:r w:rsidR="00D7033A" w:rsidRPr="000112A8">
        <w:rPr>
          <w:sz w:val="24"/>
          <w:szCs w:val="24"/>
        </w:rPr>
        <w:t>This made it unbalanced</w:t>
      </w:r>
      <w:r w:rsidR="00327E8D" w:rsidRPr="000112A8">
        <w:rPr>
          <w:sz w:val="24"/>
          <w:szCs w:val="24"/>
        </w:rPr>
        <w:t xml:space="preserve"> compared to other elements</w:t>
      </w:r>
      <w:r w:rsidR="0059349B" w:rsidRPr="000112A8">
        <w:rPr>
          <w:sz w:val="24"/>
          <w:szCs w:val="24"/>
        </w:rPr>
        <w:t>, to address this</w:t>
      </w:r>
      <w:r w:rsidR="00BF60C7" w:rsidRPr="000112A8">
        <w:rPr>
          <w:sz w:val="24"/>
          <w:szCs w:val="24"/>
        </w:rPr>
        <w:t xml:space="preserve"> a group of </w:t>
      </w:r>
      <w:r w:rsidR="000565E0" w:rsidRPr="000112A8">
        <w:rPr>
          <w:sz w:val="24"/>
          <w:szCs w:val="24"/>
        </w:rPr>
        <w:t>Assessors</w:t>
      </w:r>
      <w:r w:rsidR="00BF60C7" w:rsidRPr="000112A8">
        <w:rPr>
          <w:sz w:val="24"/>
          <w:szCs w:val="24"/>
        </w:rPr>
        <w:t xml:space="preserve"> suggested </w:t>
      </w:r>
      <w:r w:rsidR="0059349B" w:rsidRPr="000112A8">
        <w:rPr>
          <w:sz w:val="24"/>
          <w:szCs w:val="24"/>
        </w:rPr>
        <w:t xml:space="preserve">the solution of </w:t>
      </w:r>
      <w:r w:rsidR="00BF60C7" w:rsidRPr="000112A8">
        <w:rPr>
          <w:sz w:val="24"/>
          <w:szCs w:val="24"/>
        </w:rPr>
        <w:t xml:space="preserve">redistributing some of the </w:t>
      </w:r>
      <w:r w:rsidR="000565E0" w:rsidRPr="000112A8">
        <w:rPr>
          <w:sz w:val="24"/>
          <w:szCs w:val="24"/>
        </w:rPr>
        <w:t>criteria</w:t>
      </w:r>
      <w:r w:rsidR="0082200C" w:rsidRPr="000112A8">
        <w:rPr>
          <w:sz w:val="24"/>
          <w:szCs w:val="24"/>
        </w:rPr>
        <w:t xml:space="preserve"> elsewhere in the Standard</w:t>
      </w:r>
      <w:r w:rsidR="0059349B" w:rsidRPr="000112A8">
        <w:rPr>
          <w:sz w:val="24"/>
          <w:szCs w:val="24"/>
        </w:rPr>
        <w:t>.</w:t>
      </w:r>
      <w:r w:rsidR="00671C7C" w:rsidRPr="000112A8">
        <w:rPr>
          <w:sz w:val="24"/>
          <w:szCs w:val="24"/>
        </w:rPr>
        <w:t xml:space="preserve">  For example</w:t>
      </w:r>
      <w:r w:rsidR="00E0447C" w:rsidRPr="000112A8">
        <w:rPr>
          <w:sz w:val="24"/>
          <w:szCs w:val="24"/>
        </w:rPr>
        <w:t>,</w:t>
      </w:r>
      <w:r w:rsidR="00671C7C" w:rsidRPr="000112A8">
        <w:rPr>
          <w:sz w:val="24"/>
          <w:szCs w:val="24"/>
        </w:rPr>
        <w:t xml:space="preserve"> the policy and procedures </w:t>
      </w:r>
      <w:r w:rsidR="00EE6C04" w:rsidRPr="000112A8">
        <w:rPr>
          <w:sz w:val="24"/>
          <w:szCs w:val="24"/>
        </w:rPr>
        <w:lastRenderedPageBreak/>
        <w:t xml:space="preserve">section </w:t>
      </w:r>
      <w:proofErr w:type="gramStart"/>
      <w:r w:rsidR="00F449DC" w:rsidRPr="000112A8">
        <w:rPr>
          <w:sz w:val="24"/>
          <w:szCs w:val="24"/>
        </w:rPr>
        <w:t>was</w:t>
      </w:r>
      <w:proofErr w:type="gramEnd"/>
      <w:r w:rsidR="00F449DC" w:rsidRPr="000112A8">
        <w:rPr>
          <w:sz w:val="24"/>
          <w:szCs w:val="24"/>
        </w:rPr>
        <w:t xml:space="preserve"> </w:t>
      </w:r>
      <w:r w:rsidR="0096077F" w:rsidRPr="000112A8">
        <w:rPr>
          <w:sz w:val="24"/>
          <w:szCs w:val="24"/>
        </w:rPr>
        <w:t>repositioned</w:t>
      </w:r>
      <w:r w:rsidR="00F449DC" w:rsidRPr="000112A8">
        <w:rPr>
          <w:sz w:val="24"/>
          <w:szCs w:val="24"/>
        </w:rPr>
        <w:t xml:space="preserve"> </w:t>
      </w:r>
      <w:r w:rsidR="0096077F" w:rsidRPr="000112A8">
        <w:rPr>
          <w:sz w:val="24"/>
          <w:szCs w:val="24"/>
        </w:rPr>
        <w:t>to Element 1 Purpose</w:t>
      </w:r>
      <w:r w:rsidR="00F60AA0" w:rsidRPr="000112A8">
        <w:rPr>
          <w:sz w:val="24"/>
          <w:szCs w:val="24"/>
        </w:rPr>
        <w:t xml:space="preserve"> and </w:t>
      </w:r>
      <w:r w:rsidR="00CC41B3" w:rsidRPr="000112A8">
        <w:rPr>
          <w:sz w:val="24"/>
          <w:szCs w:val="24"/>
        </w:rPr>
        <w:t>both information</w:t>
      </w:r>
      <w:r w:rsidR="00E0447C" w:rsidRPr="000112A8">
        <w:rPr>
          <w:sz w:val="24"/>
          <w:szCs w:val="24"/>
        </w:rPr>
        <w:t xml:space="preserve"> and </w:t>
      </w:r>
      <w:r w:rsidR="00F60AA0" w:rsidRPr="000112A8">
        <w:rPr>
          <w:sz w:val="24"/>
          <w:szCs w:val="24"/>
        </w:rPr>
        <w:t xml:space="preserve">partnerships and networks were repositioned </w:t>
      </w:r>
      <w:r w:rsidR="00FD1647" w:rsidRPr="000112A8">
        <w:rPr>
          <w:sz w:val="24"/>
          <w:szCs w:val="24"/>
        </w:rPr>
        <w:t>under Element 5 – Delivery.</w:t>
      </w:r>
    </w:p>
    <w:p w14:paraId="492B2A15" w14:textId="02649B7D" w:rsidR="00BC3F8F" w:rsidRPr="000112A8" w:rsidRDefault="00AA2B32" w:rsidP="00CA35D9">
      <w:pPr>
        <w:pStyle w:val="Bullet"/>
        <w:rPr>
          <w:sz w:val="24"/>
          <w:szCs w:val="24"/>
        </w:rPr>
      </w:pPr>
      <w:r w:rsidRPr="000112A8">
        <w:rPr>
          <w:sz w:val="24"/>
          <w:szCs w:val="24"/>
        </w:rPr>
        <w:t>In maintaining the flexibility and applicability to a range of organisations in different sectors, one of the areas of consideration was the language used in the Standard, to ensure all organisations that seek</w:t>
      </w:r>
      <w:r w:rsidR="00D06D29" w:rsidRPr="000112A8">
        <w:rPr>
          <w:sz w:val="24"/>
          <w:szCs w:val="24"/>
        </w:rPr>
        <w:t xml:space="preserve"> or consider</w:t>
      </w:r>
      <w:r w:rsidRPr="000112A8">
        <w:rPr>
          <w:sz w:val="24"/>
          <w:szCs w:val="24"/>
        </w:rPr>
        <w:t xml:space="preserve"> </w:t>
      </w:r>
      <w:r w:rsidRPr="000112A8">
        <w:rPr>
          <w:b/>
          <w:bCs/>
          <w:sz w:val="24"/>
          <w:szCs w:val="24"/>
        </w:rPr>
        <w:t xml:space="preserve">matrix </w:t>
      </w:r>
      <w:r w:rsidRPr="000112A8">
        <w:rPr>
          <w:sz w:val="24"/>
          <w:szCs w:val="24"/>
        </w:rPr>
        <w:t>Accreditation recognise it relates to them</w:t>
      </w:r>
      <w:r w:rsidR="00EE0831" w:rsidRPr="000112A8">
        <w:rPr>
          <w:sz w:val="24"/>
          <w:szCs w:val="24"/>
        </w:rPr>
        <w:t>.</w:t>
      </w:r>
    </w:p>
    <w:p w14:paraId="7F393634" w14:textId="029BDD53" w:rsidR="00EE0831" w:rsidRPr="000112A8" w:rsidRDefault="00AA2B32" w:rsidP="00CA35D9">
      <w:pPr>
        <w:pStyle w:val="Bullet"/>
        <w:rPr>
          <w:sz w:val="24"/>
          <w:szCs w:val="24"/>
        </w:rPr>
      </w:pPr>
      <w:r w:rsidRPr="000112A8">
        <w:rPr>
          <w:sz w:val="24"/>
          <w:szCs w:val="24"/>
        </w:rPr>
        <w:t xml:space="preserve">Some feedback and suggestions received were specific to a particular type of delivery or sector, and therefore the assessment body has committed to develop a range of sector guides to provide contextualisation for different </w:t>
      </w:r>
      <w:r w:rsidR="00D06D29" w:rsidRPr="000112A8">
        <w:rPr>
          <w:sz w:val="24"/>
          <w:szCs w:val="24"/>
        </w:rPr>
        <w:t>sectors</w:t>
      </w:r>
      <w:r w:rsidR="00EE0831" w:rsidRPr="000112A8">
        <w:rPr>
          <w:sz w:val="24"/>
          <w:szCs w:val="24"/>
        </w:rPr>
        <w:t>.</w:t>
      </w:r>
    </w:p>
    <w:p w14:paraId="5A76CBAB" w14:textId="25CB32CF" w:rsidR="007225D7" w:rsidRPr="000112A8" w:rsidRDefault="007225D7" w:rsidP="002217F7">
      <w:pPr>
        <w:rPr>
          <w:rFonts w:cs="Arial"/>
          <w:sz w:val="24"/>
          <w:highlight w:val="yellow"/>
        </w:rPr>
      </w:pPr>
    </w:p>
    <w:p w14:paraId="50E17861" w14:textId="5C2EE386" w:rsidR="00EE0831" w:rsidRPr="000112A8" w:rsidRDefault="00872042" w:rsidP="002217F7">
      <w:pPr>
        <w:rPr>
          <w:rFonts w:cs="Arial"/>
          <w:sz w:val="24"/>
        </w:rPr>
      </w:pPr>
      <w:r w:rsidRPr="000112A8">
        <w:rPr>
          <w:rFonts w:cs="Arial"/>
          <w:sz w:val="24"/>
        </w:rPr>
        <w:t>During</w:t>
      </w:r>
      <w:r w:rsidR="00EA346E" w:rsidRPr="000112A8">
        <w:rPr>
          <w:rFonts w:cs="Arial"/>
          <w:sz w:val="24"/>
        </w:rPr>
        <w:t xml:space="preserve"> the development process </w:t>
      </w:r>
      <w:r w:rsidRPr="000112A8">
        <w:rPr>
          <w:rFonts w:cs="Arial"/>
          <w:sz w:val="24"/>
        </w:rPr>
        <w:t xml:space="preserve">regular </w:t>
      </w:r>
      <w:r w:rsidR="000617B6" w:rsidRPr="000112A8">
        <w:rPr>
          <w:rFonts w:cs="Arial"/>
          <w:sz w:val="24"/>
        </w:rPr>
        <w:t>meeting</w:t>
      </w:r>
      <w:r w:rsidR="002C6CAA" w:rsidRPr="000112A8">
        <w:rPr>
          <w:rFonts w:cs="Arial"/>
          <w:sz w:val="24"/>
        </w:rPr>
        <w:t>s</w:t>
      </w:r>
      <w:r w:rsidR="000617B6" w:rsidRPr="000112A8">
        <w:rPr>
          <w:rFonts w:cs="Arial"/>
          <w:sz w:val="24"/>
        </w:rPr>
        <w:t xml:space="preserve"> took place with </w:t>
      </w:r>
      <w:r w:rsidR="009E5616" w:rsidRPr="000112A8">
        <w:rPr>
          <w:rFonts w:cs="Arial"/>
          <w:sz w:val="24"/>
        </w:rPr>
        <w:t xml:space="preserve">the </w:t>
      </w:r>
      <w:r w:rsidR="000617B6" w:rsidRPr="000112A8">
        <w:rPr>
          <w:rFonts w:cs="Arial"/>
          <w:sz w:val="24"/>
        </w:rPr>
        <w:t>Gatsby Foundation</w:t>
      </w:r>
      <w:r w:rsidRPr="000112A8">
        <w:rPr>
          <w:rFonts w:cs="Arial"/>
          <w:sz w:val="24"/>
        </w:rPr>
        <w:t xml:space="preserve">. This </w:t>
      </w:r>
      <w:r w:rsidR="00561B6E" w:rsidRPr="000112A8">
        <w:rPr>
          <w:rFonts w:cs="Arial"/>
          <w:sz w:val="24"/>
        </w:rPr>
        <w:t xml:space="preserve">influenced the structure of the revised </w:t>
      </w:r>
      <w:r w:rsidR="00E059C3" w:rsidRPr="000112A8">
        <w:rPr>
          <w:rFonts w:cs="Arial"/>
          <w:sz w:val="24"/>
        </w:rPr>
        <w:t xml:space="preserve">the </w:t>
      </w:r>
      <w:r w:rsidR="00561B6E" w:rsidRPr="000112A8">
        <w:rPr>
          <w:rFonts w:cs="Arial"/>
          <w:sz w:val="24"/>
        </w:rPr>
        <w:t>Standard</w:t>
      </w:r>
      <w:r w:rsidR="00EE0831" w:rsidRPr="000112A8">
        <w:rPr>
          <w:rFonts w:cs="Arial"/>
          <w:sz w:val="24"/>
        </w:rPr>
        <w:t xml:space="preserve">. </w:t>
      </w:r>
      <w:r w:rsidR="00EE3757" w:rsidRPr="000112A8">
        <w:rPr>
          <w:rFonts w:cs="Arial"/>
          <w:sz w:val="24"/>
        </w:rPr>
        <w:t xml:space="preserve">Critically, the </w:t>
      </w:r>
      <w:r w:rsidR="008D480D" w:rsidRPr="000112A8">
        <w:rPr>
          <w:rFonts w:cs="Arial"/>
          <w:sz w:val="24"/>
        </w:rPr>
        <w:t>“Offer” element i</w:t>
      </w:r>
      <w:r w:rsidR="00C56BFB" w:rsidRPr="000112A8">
        <w:rPr>
          <w:rFonts w:cs="Arial"/>
          <w:sz w:val="24"/>
        </w:rPr>
        <w:t>n</w:t>
      </w:r>
      <w:r w:rsidR="008D480D" w:rsidRPr="000112A8">
        <w:rPr>
          <w:rFonts w:cs="Arial"/>
          <w:sz w:val="24"/>
        </w:rPr>
        <w:t xml:space="preserve"> revised</w:t>
      </w:r>
      <w:r w:rsidR="00C56BFB" w:rsidRPr="000112A8">
        <w:rPr>
          <w:rFonts w:cs="Arial"/>
          <w:sz w:val="24"/>
        </w:rPr>
        <w:t xml:space="preserve"> </w:t>
      </w:r>
      <w:r w:rsidR="005E303D" w:rsidRPr="000112A8">
        <w:rPr>
          <w:rFonts w:cs="Arial"/>
          <w:sz w:val="24"/>
        </w:rPr>
        <w:t xml:space="preserve">Standard </w:t>
      </w:r>
      <w:r w:rsidR="0001746C" w:rsidRPr="000112A8">
        <w:rPr>
          <w:rFonts w:cs="Arial"/>
          <w:sz w:val="24"/>
        </w:rPr>
        <w:t xml:space="preserve">now </w:t>
      </w:r>
      <w:r w:rsidR="005E303D" w:rsidRPr="000112A8">
        <w:rPr>
          <w:rFonts w:cs="Arial"/>
          <w:sz w:val="24"/>
        </w:rPr>
        <w:t>more closely supports</w:t>
      </w:r>
      <w:r w:rsidR="72111F65" w:rsidRPr="000112A8">
        <w:rPr>
          <w:rFonts w:cs="Arial"/>
          <w:sz w:val="24"/>
        </w:rPr>
        <w:t>,</w:t>
      </w:r>
      <w:r w:rsidR="005E303D" w:rsidRPr="000112A8">
        <w:rPr>
          <w:rFonts w:cs="Arial"/>
          <w:i/>
          <w:iCs/>
          <w:sz w:val="24"/>
        </w:rPr>
        <w:t xml:space="preserve"> Gatsby Benchmark 1 </w:t>
      </w:r>
      <w:r w:rsidR="3AC45426" w:rsidRPr="000112A8">
        <w:rPr>
          <w:rFonts w:cs="Arial"/>
          <w:i/>
          <w:iCs/>
          <w:sz w:val="24"/>
        </w:rPr>
        <w:t>“A</w:t>
      </w:r>
      <w:r w:rsidR="005E303D" w:rsidRPr="000112A8">
        <w:rPr>
          <w:rFonts w:cs="Arial"/>
          <w:i/>
          <w:iCs/>
          <w:sz w:val="24"/>
        </w:rPr>
        <w:t xml:space="preserve"> </w:t>
      </w:r>
      <w:r w:rsidR="002814FF" w:rsidRPr="000112A8">
        <w:rPr>
          <w:rFonts w:cs="Arial"/>
          <w:i/>
          <w:iCs/>
          <w:sz w:val="24"/>
        </w:rPr>
        <w:t xml:space="preserve">Stable Careers </w:t>
      </w:r>
      <w:r w:rsidR="676E27FF" w:rsidRPr="000112A8">
        <w:rPr>
          <w:rFonts w:cs="Arial"/>
          <w:i/>
          <w:iCs/>
          <w:sz w:val="24"/>
        </w:rPr>
        <w:t>Programme”</w:t>
      </w:r>
      <w:r w:rsidR="676E27FF" w:rsidRPr="000112A8">
        <w:rPr>
          <w:rFonts w:cs="Arial"/>
          <w:sz w:val="24"/>
        </w:rPr>
        <w:t xml:space="preserve"> </w:t>
      </w:r>
      <w:r w:rsidR="44E49DD1" w:rsidRPr="000112A8">
        <w:rPr>
          <w:rFonts w:cs="Arial"/>
          <w:sz w:val="24"/>
        </w:rPr>
        <w:t>which</w:t>
      </w:r>
      <w:r w:rsidR="44E49DD1" w:rsidRPr="000112A8">
        <w:rPr>
          <w:rFonts w:cs="Arial"/>
          <w:i/>
          <w:iCs/>
          <w:sz w:val="24"/>
        </w:rPr>
        <w:t xml:space="preserve"> </w:t>
      </w:r>
      <w:r w:rsidR="676E27FF" w:rsidRPr="000112A8">
        <w:rPr>
          <w:rFonts w:cs="Arial"/>
          <w:sz w:val="24"/>
        </w:rPr>
        <w:t>includes</w:t>
      </w:r>
      <w:r w:rsidR="427FAA1F" w:rsidRPr="000112A8">
        <w:rPr>
          <w:rFonts w:cs="Arial"/>
          <w:sz w:val="24"/>
        </w:rPr>
        <w:t xml:space="preserve"> publishing the </w:t>
      </w:r>
      <w:r w:rsidR="13BFAA57" w:rsidRPr="000112A8">
        <w:rPr>
          <w:rFonts w:cs="Arial"/>
          <w:sz w:val="24"/>
        </w:rPr>
        <w:t xml:space="preserve">details of a </w:t>
      </w:r>
      <w:r w:rsidR="7EDC7ED8" w:rsidRPr="000112A8">
        <w:rPr>
          <w:rFonts w:cs="Arial"/>
          <w:sz w:val="24"/>
        </w:rPr>
        <w:t>school's</w:t>
      </w:r>
      <w:r w:rsidR="427FAA1F" w:rsidRPr="000112A8">
        <w:rPr>
          <w:rFonts w:cs="Arial"/>
          <w:sz w:val="24"/>
        </w:rPr>
        <w:t xml:space="preserve"> caree</w:t>
      </w:r>
      <w:r w:rsidR="7875E874" w:rsidRPr="000112A8">
        <w:rPr>
          <w:rFonts w:cs="Arial"/>
          <w:sz w:val="24"/>
        </w:rPr>
        <w:t xml:space="preserve">r </w:t>
      </w:r>
      <w:r w:rsidR="10FEFF02" w:rsidRPr="000112A8">
        <w:rPr>
          <w:rFonts w:cs="Arial"/>
          <w:sz w:val="24"/>
        </w:rPr>
        <w:t>programme</w:t>
      </w:r>
      <w:r w:rsidR="7875E874" w:rsidRPr="000112A8">
        <w:rPr>
          <w:rFonts w:cs="Arial"/>
          <w:sz w:val="24"/>
        </w:rPr>
        <w:t xml:space="preserve"> </w:t>
      </w:r>
      <w:r w:rsidR="1006A9DB" w:rsidRPr="000112A8">
        <w:rPr>
          <w:rFonts w:cs="Arial"/>
          <w:sz w:val="24"/>
        </w:rPr>
        <w:t>on the school's website. T</w:t>
      </w:r>
      <w:r w:rsidR="00D67CE1" w:rsidRPr="000112A8">
        <w:rPr>
          <w:rFonts w:cs="Arial"/>
          <w:sz w:val="24"/>
        </w:rPr>
        <w:t xml:space="preserve">he revised Standard </w:t>
      </w:r>
      <w:r w:rsidR="009E5616" w:rsidRPr="000112A8">
        <w:rPr>
          <w:rFonts w:cs="Arial"/>
          <w:sz w:val="24"/>
        </w:rPr>
        <w:t xml:space="preserve">now </w:t>
      </w:r>
      <w:r w:rsidR="00D67CE1" w:rsidRPr="000112A8">
        <w:rPr>
          <w:rFonts w:cs="Arial"/>
          <w:sz w:val="24"/>
        </w:rPr>
        <w:t xml:space="preserve">requires </w:t>
      </w:r>
      <w:r w:rsidR="0001746C" w:rsidRPr="000112A8">
        <w:rPr>
          <w:rFonts w:cs="Arial"/>
          <w:sz w:val="24"/>
        </w:rPr>
        <w:t xml:space="preserve">organisations </w:t>
      </w:r>
      <w:r w:rsidR="00572180" w:rsidRPr="000112A8">
        <w:rPr>
          <w:rFonts w:cs="Arial"/>
          <w:sz w:val="24"/>
        </w:rPr>
        <w:t xml:space="preserve">have </w:t>
      </w:r>
      <w:r w:rsidR="00D67CE1" w:rsidRPr="000112A8">
        <w:rPr>
          <w:rFonts w:cs="Arial"/>
          <w:sz w:val="24"/>
        </w:rPr>
        <w:t xml:space="preserve">an openly available description of the </w:t>
      </w:r>
      <w:r w:rsidR="009808D0" w:rsidRPr="000112A8">
        <w:rPr>
          <w:rFonts w:cs="Arial"/>
          <w:sz w:val="24"/>
        </w:rPr>
        <w:t>IAG offer</w:t>
      </w:r>
      <w:r w:rsidR="481C3E93" w:rsidRPr="000112A8">
        <w:rPr>
          <w:rFonts w:cs="Arial"/>
          <w:sz w:val="24"/>
        </w:rPr>
        <w:t xml:space="preserve"> they will deliver</w:t>
      </w:r>
      <w:r w:rsidR="00EE0831" w:rsidRPr="000112A8">
        <w:rPr>
          <w:rFonts w:cs="Arial"/>
          <w:sz w:val="24"/>
        </w:rPr>
        <w:t>.</w:t>
      </w:r>
    </w:p>
    <w:p w14:paraId="1FB9E86B" w14:textId="77777777" w:rsidR="00572180" w:rsidRPr="000112A8" w:rsidRDefault="00572180" w:rsidP="002217F7">
      <w:pPr>
        <w:rPr>
          <w:rFonts w:cs="Arial"/>
          <w:sz w:val="24"/>
        </w:rPr>
      </w:pPr>
    </w:p>
    <w:p w14:paraId="688B0BB4" w14:textId="2C3C084F" w:rsidR="00905F6B" w:rsidRPr="000112A8" w:rsidRDefault="00572180" w:rsidP="002217F7">
      <w:pPr>
        <w:rPr>
          <w:rFonts w:cs="Arial"/>
          <w:sz w:val="24"/>
        </w:rPr>
      </w:pPr>
      <w:r w:rsidRPr="000112A8">
        <w:rPr>
          <w:rFonts w:cs="Arial"/>
          <w:sz w:val="24"/>
        </w:rPr>
        <w:t>C</w:t>
      </w:r>
      <w:r w:rsidR="00A01610" w:rsidRPr="000112A8">
        <w:rPr>
          <w:rFonts w:cs="Arial"/>
          <w:sz w:val="24"/>
        </w:rPr>
        <w:t xml:space="preserve">onsultation took place with </w:t>
      </w:r>
      <w:r w:rsidR="000D3AE8" w:rsidRPr="000112A8">
        <w:rPr>
          <w:rFonts w:cs="Arial"/>
          <w:sz w:val="24"/>
        </w:rPr>
        <w:t>Ofsted and structure of the revised Standard was influenced by the</w:t>
      </w:r>
      <w:r w:rsidR="00CF6D81" w:rsidRPr="000112A8">
        <w:rPr>
          <w:rFonts w:cs="Arial"/>
          <w:sz w:val="24"/>
        </w:rPr>
        <w:t xml:space="preserve">ir </w:t>
      </w:r>
      <w:r w:rsidR="00141E81" w:rsidRPr="000112A8">
        <w:rPr>
          <w:rFonts w:cs="Arial"/>
          <w:sz w:val="24"/>
        </w:rPr>
        <w:t>“</w:t>
      </w:r>
      <w:r w:rsidR="000B7D8A" w:rsidRPr="000112A8">
        <w:rPr>
          <w:rFonts w:cs="Arial"/>
          <w:sz w:val="24"/>
        </w:rPr>
        <w:t>3</w:t>
      </w:r>
      <w:r w:rsidR="00141E81" w:rsidRPr="000112A8">
        <w:rPr>
          <w:rFonts w:cs="Arial"/>
          <w:sz w:val="24"/>
        </w:rPr>
        <w:t>Is”</w:t>
      </w:r>
      <w:r w:rsidR="000B7D8A" w:rsidRPr="000112A8">
        <w:rPr>
          <w:rFonts w:cs="Arial"/>
          <w:sz w:val="24"/>
        </w:rPr>
        <w:t xml:space="preserve"> framework</w:t>
      </w:r>
      <w:r w:rsidR="00CF6D81" w:rsidRPr="000112A8">
        <w:rPr>
          <w:rFonts w:cs="Arial"/>
          <w:sz w:val="24"/>
        </w:rPr>
        <w:t>.</w:t>
      </w:r>
      <w:r w:rsidR="003D6615" w:rsidRPr="000112A8">
        <w:rPr>
          <w:rFonts w:cs="Arial"/>
          <w:sz w:val="24"/>
        </w:rPr>
        <w:t xml:space="preserve"> Regular meeting with the Gatsby Foundation and Ofsted </w:t>
      </w:r>
      <w:r w:rsidR="00082075" w:rsidRPr="000112A8">
        <w:rPr>
          <w:rFonts w:cs="Arial"/>
          <w:sz w:val="24"/>
        </w:rPr>
        <w:t>provided the platform for closer work on various guidance documents</w:t>
      </w:r>
      <w:r w:rsidR="009E5616" w:rsidRPr="000112A8">
        <w:rPr>
          <w:rFonts w:cs="Arial"/>
          <w:sz w:val="24"/>
        </w:rPr>
        <w:t>.</w:t>
      </w:r>
    </w:p>
    <w:p w14:paraId="61E7001C" w14:textId="77777777" w:rsidR="00905F6B" w:rsidRPr="000112A8" w:rsidRDefault="00905F6B" w:rsidP="002217F7">
      <w:pPr>
        <w:rPr>
          <w:rFonts w:cs="Arial"/>
          <w:sz w:val="24"/>
          <w:highlight w:val="yellow"/>
        </w:rPr>
      </w:pPr>
    </w:p>
    <w:p w14:paraId="31BDB4D7" w14:textId="1735E500" w:rsidR="006719AF" w:rsidRPr="000112A8" w:rsidRDefault="00426B82" w:rsidP="002217F7">
      <w:pPr>
        <w:rPr>
          <w:rFonts w:cs="Arial"/>
          <w:sz w:val="24"/>
        </w:rPr>
      </w:pPr>
      <w:r w:rsidRPr="000112A8">
        <w:rPr>
          <w:rFonts w:cs="Arial"/>
          <w:sz w:val="24"/>
        </w:rPr>
        <w:t>The</w:t>
      </w:r>
      <w:r w:rsidR="00D06D29" w:rsidRPr="000112A8">
        <w:rPr>
          <w:rFonts w:cs="Arial"/>
          <w:sz w:val="24"/>
        </w:rPr>
        <w:t>se updates gave rise to the beta</w:t>
      </w:r>
      <w:r w:rsidRPr="000112A8">
        <w:rPr>
          <w:rFonts w:cs="Arial"/>
          <w:sz w:val="24"/>
        </w:rPr>
        <w:t xml:space="preserve"> version</w:t>
      </w:r>
      <w:r w:rsidR="00742238" w:rsidRPr="000112A8">
        <w:rPr>
          <w:rFonts w:cs="Arial"/>
          <w:sz w:val="24"/>
        </w:rPr>
        <w:t>,</w:t>
      </w:r>
      <w:r w:rsidRPr="000112A8">
        <w:rPr>
          <w:rFonts w:cs="Arial"/>
          <w:sz w:val="24"/>
        </w:rPr>
        <w:t xml:space="preserve"> and this was taken to the Executive Group for approval</w:t>
      </w:r>
      <w:r w:rsidR="006362FF" w:rsidRPr="000112A8">
        <w:rPr>
          <w:rFonts w:cs="Arial"/>
          <w:sz w:val="24"/>
        </w:rPr>
        <w:t>,</w:t>
      </w:r>
      <w:r w:rsidRPr="000112A8">
        <w:rPr>
          <w:rFonts w:cs="Arial"/>
          <w:sz w:val="24"/>
        </w:rPr>
        <w:t xml:space="preserve"> followed by the Advisory Group for comment. </w:t>
      </w:r>
      <w:r w:rsidR="00D06D29" w:rsidRPr="000112A8">
        <w:rPr>
          <w:rFonts w:cs="Arial"/>
          <w:sz w:val="24"/>
        </w:rPr>
        <w:t>The beta version has also been reviewed against the Plain English Campaign Guidelines.</w:t>
      </w:r>
    </w:p>
    <w:p w14:paraId="40F3D6C6" w14:textId="183AA6DA" w:rsidR="00CD722A" w:rsidRDefault="00CD722A">
      <w:pPr>
        <w:jc w:val="left"/>
        <w:rPr>
          <w:rFonts w:asciiTheme="majorHAnsi" w:eastAsiaTheme="majorEastAsia" w:hAnsiTheme="majorHAnsi" w:cstheme="majorBidi"/>
          <w:bCs/>
          <w:color w:val="003087"/>
          <w:sz w:val="28"/>
          <w:szCs w:val="28"/>
        </w:rPr>
      </w:pPr>
    </w:p>
    <w:p w14:paraId="6EF13424" w14:textId="7DD073B5" w:rsidR="004F59F6" w:rsidRPr="00C36FBC" w:rsidRDefault="0024301F" w:rsidP="000B550F">
      <w:pPr>
        <w:pStyle w:val="Heading2"/>
      </w:pPr>
      <w:r w:rsidRPr="00C36FBC">
        <w:t>Piloting Beta Version</w:t>
      </w:r>
    </w:p>
    <w:p w14:paraId="366A460F" w14:textId="41773F0F" w:rsidR="004F59F6" w:rsidRPr="004550B8" w:rsidRDefault="004F59F6" w:rsidP="004F59F6">
      <w:pPr>
        <w:rPr>
          <w:rFonts w:cs="Arial"/>
          <w:sz w:val="24"/>
        </w:rPr>
      </w:pPr>
      <w:r w:rsidRPr="004550B8">
        <w:rPr>
          <w:rFonts w:cs="Arial"/>
          <w:sz w:val="24"/>
        </w:rPr>
        <w:t xml:space="preserve">Following feedback from all parties on the </w:t>
      </w:r>
      <w:r w:rsidR="00A216FC" w:rsidRPr="004550B8">
        <w:rPr>
          <w:rFonts w:cs="Arial"/>
          <w:sz w:val="24"/>
        </w:rPr>
        <w:t>a</w:t>
      </w:r>
      <w:r w:rsidRPr="004550B8">
        <w:rPr>
          <w:rFonts w:cs="Arial"/>
          <w:sz w:val="24"/>
        </w:rPr>
        <w:t xml:space="preserve">lpha </w:t>
      </w:r>
      <w:r w:rsidR="00A216FC" w:rsidRPr="004550B8">
        <w:rPr>
          <w:rFonts w:cs="Arial"/>
          <w:sz w:val="24"/>
        </w:rPr>
        <w:t>v</w:t>
      </w:r>
      <w:r w:rsidRPr="004550B8">
        <w:rPr>
          <w:rFonts w:cs="Arial"/>
          <w:sz w:val="24"/>
        </w:rPr>
        <w:t xml:space="preserve">ersion the element known as Context in the </w:t>
      </w:r>
      <w:r w:rsidR="00A216FC" w:rsidRPr="004550B8">
        <w:rPr>
          <w:rFonts w:cs="Arial"/>
          <w:sz w:val="24"/>
        </w:rPr>
        <w:t>a</w:t>
      </w:r>
      <w:r w:rsidRPr="004550B8">
        <w:rPr>
          <w:rFonts w:cs="Arial"/>
          <w:sz w:val="24"/>
        </w:rPr>
        <w:t xml:space="preserve">lpha version was retitled to Purpose as </w:t>
      </w:r>
      <w:r w:rsidR="00A216FC" w:rsidRPr="004550B8">
        <w:rPr>
          <w:rFonts w:cs="Arial"/>
          <w:sz w:val="24"/>
        </w:rPr>
        <w:t>this</w:t>
      </w:r>
      <w:r w:rsidRPr="004550B8">
        <w:rPr>
          <w:rFonts w:cs="Arial"/>
          <w:sz w:val="24"/>
        </w:rPr>
        <w:t xml:space="preserve"> was seen as modern a</w:t>
      </w:r>
      <w:r w:rsidR="00A216FC" w:rsidRPr="004550B8">
        <w:rPr>
          <w:rFonts w:cs="Arial"/>
          <w:sz w:val="24"/>
        </w:rPr>
        <w:t>nd</w:t>
      </w:r>
      <w:r w:rsidRPr="004550B8">
        <w:rPr>
          <w:rFonts w:cs="Arial"/>
          <w:sz w:val="24"/>
        </w:rPr>
        <w:t xml:space="preserve"> engaging. The Resources and Continuous Improvement elements were re-positioned as part of a single plan, do, review structure. A host of minor changes to language of each criterion were made based on the feedback received to ensure it reflected best practice. This led to the revised elements:</w:t>
      </w:r>
    </w:p>
    <w:p w14:paraId="1646751C" w14:textId="77777777" w:rsidR="004F59F6" w:rsidRPr="004550B8" w:rsidRDefault="004F59F6" w:rsidP="00CA35D9">
      <w:pPr>
        <w:pStyle w:val="Number"/>
        <w:numPr>
          <w:ilvl w:val="0"/>
          <w:numId w:val="76"/>
        </w:numPr>
        <w:rPr>
          <w:sz w:val="24"/>
          <w:szCs w:val="24"/>
        </w:rPr>
      </w:pPr>
      <w:r w:rsidRPr="004550B8">
        <w:rPr>
          <w:sz w:val="24"/>
          <w:szCs w:val="24"/>
        </w:rPr>
        <w:t>Purpose</w:t>
      </w:r>
    </w:p>
    <w:p w14:paraId="2807714A" w14:textId="77777777" w:rsidR="004F59F6" w:rsidRPr="004550B8" w:rsidRDefault="004F59F6" w:rsidP="00CA35D9">
      <w:pPr>
        <w:pStyle w:val="Number"/>
        <w:rPr>
          <w:sz w:val="24"/>
          <w:szCs w:val="24"/>
        </w:rPr>
      </w:pPr>
      <w:r w:rsidRPr="004550B8">
        <w:rPr>
          <w:sz w:val="24"/>
          <w:szCs w:val="24"/>
        </w:rPr>
        <w:t>Resources</w:t>
      </w:r>
    </w:p>
    <w:p w14:paraId="4091ED9D" w14:textId="77777777" w:rsidR="004F59F6" w:rsidRPr="004550B8" w:rsidRDefault="004F59F6" w:rsidP="00CA35D9">
      <w:pPr>
        <w:pStyle w:val="Number"/>
        <w:rPr>
          <w:sz w:val="24"/>
          <w:szCs w:val="24"/>
        </w:rPr>
      </w:pPr>
      <w:r w:rsidRPr="004550B8">
        <w:rPr>
          <w:sz w:val="24"/>
          <w:szCs w:val="24"/>
        </w:rPr>
        <w:t>Offer</w:t>
      </w:r>
    </w:p>
    <w:p w14:paraId="39556FAF" w14:textId="77777777" w:rsidR="004F59F6" w:rsidRPr="004550B8" w:rsidRDefault="004F59F6" w:rsidP="00CA35D9">
      <w:pPr>
        <w:pStyle w:val="Number"/>
        <w:rPr>
          <w:sz w:val="24"/>
          <w:szCs w:val="24"/>
        </w:rPr>
      </w:pPr>
      <w:r w:rsidRPr="004550B8">
        <w:rPr>
          <w:sz w:val="24"/>
          <w:szCs w:val="24"/>
        </w:rPr>
        <w:t>Delivery</w:t>
      </w:r>
    </w:p>
    <w:p w14:paraId="1DAA69A3" w14:textId="77777777" w:rsidR="004F59F6" w:rsidRPr="004550B8" w:rsidRDefault="004F59F6" w:rsidP="00CA35D9">
      <w:pPr>
        <w:pStyle w:val="Number"/>
        <w:rPr>
          <w:sz w:val="24"/>
          <w:szCs w:val="24"/>
        </w:rPr>
      </w:pPr>
      <w:r w:rsidRPr="004550B8">
        <w:rPr>
          <w:sz w:val="24"/>
          <w:szCs w:val="24"/>
        </w:rPr>
        <w:t>Outcomes</w:t>
      </w:r>
    </w:p>
    <w:p w14:paraId="2DA35C9F" w14:textId="77777777" w:rsidR="004F59F6" w:rsidRPr="004550B8" w:rsidRDefault="004F59F6" w:rsidP="00CA35D9">
      <w:pPr>
        <w:pStyle w:val="Number"/>
        <w:rPr>
          <w:sz w:val="24"/>
          <w:szCs w:val="24"/>
        </w:rPr>
      </w:pPr>
      <w:r w:rsidRPr="004550B8">
        <w:rPr>
          <w:sz w:val="24"/>
          <w:szCs w:val="24"/>
        </w:rPr>
        <w:t>Impact</w:t>
      </w:r>
    </w:p>
    <w:p w14:paraId="6F250165" w14:textId="77777777" w:rsidR="004F59F6" w:rsidRPr="004550B8" w:rsidRDefault="004F59F6" w:rsidP="00CA35D9">
      <w:pPr>
        <w:pStyle w:val="Number"/>
        <w:rPr>
          <w:sz w:val="24"/>
          <w:szCs w:val="24"/>
        </w:rPr>
      </w:pPr>
      <w:r w:rsidRPr="004550B8">
        <w:rPr>
          <w:sz w:val="24"/>
          <w:szCs w:val="24"/>
        </w:rPr>
        <w:t>Continuous Improvement</w:t>
      </w:r>
    </w:p>
    <w:p w14:paraId="4941AAC2" w14:textId="16BB0356" w:rsidR="007966A8" w:rsidRPr="004550B8" w:rsidRDefault="00426B82" w:rsidP="002217F7">
      <w:pPr>
        <w:rPr>
          <w:rFonts w:cs="Arial"/>
          <w:sz w:val="24"/>
        </w:rPr>
      </w:pPr>
      <w:r w:rsidRPr="004550B8">
        <w:rPr>
          <w:rFonts w:cs="Arial"/>
          <w:sz w:val="24"/>
        </w:rPr>
        <w:t xml:space="preserve">Following approval of the </w:t>
      </w:r>
      <w:r w:rsidR="00D06D29" w:rsidRPr="004550B8">
        <w:rPr>
          <w:rFonts w:cs="Arial"/>
          <w:sz w:val="24"/>
        </w:rPr>
        <w:t>beta</w:t>
      </w:r>
      <w:r w:rsidRPr="004550B8">
        <w:rPr>
          <w:rFonts w:cs="Arial"/>
          <w:sz w:val="24"/>
        </w:rPr>
        <w:t xml:space="preserve"> version</w:t>
      </w:r>
      <w:r w:rsidR="00D06D29" w:rsidRPr="004550B8">
        <w:rPr>
          <w:rFonts w:cs="Arial"/>
          <w:sz w:val="24"/>
        </w:rPr>
        <w:t xml:space="preserve"> by the Executive Group,</w:t>
      </w:r>
      <w:r w:rsidRPr="004550B8">
        <w:rPr>
          <w:rFonts w:cs="Arial"/>
          <w:sz w:val="24"/>
        </w:rPr>
        <w:t xml:space="preserve"> </w:t>
      </w:r>
      <w:r w:rsidR="00D06D29" w:rsidRPr="004550B8">
        <w:rPr>
          <w:rFonts w:cs="Arial"/>
          <w:sz w:val="24"/>
        </w:rPr>
        <w:t>o</w:t>
      </w:r>
      <w:r w:rsidR="00A00BA2" w:rsidRPr="004550B8">
        <w:rPr>
          <w:rFonts w:cs="Arial"/>
          <w:sz w:val="24"/>
        </w:rPr>
        <w:t xml:space="preserve">rganisations and </w:t>
      </w:r>
      <w:r w:rsidR="00A00BA2" w:rsidRPr="004550B8">
        <w:rPr>
          <w:rFonts w:cs="Arial"/>
          <w:b/>
          <w:bCs/>
          <w:sz w:val="24"/>
        </w:rPr>
        <w:t>matrix</w:t>
      </w:r>
      <w:r w:rsidR="00A00BA2" w:rsidRPr="004550B8">
        <w:rPr>
          <w:rFonts w:cs="Arial"/>
          <w:sz w:val="24"/>
        </w:rPr>
        <w:t xml:space="preserve"> Practitioners were identified </w:t>
      </w:r>
      <w:r w:rsidR="00D06D29" w:rsidRPr="004550B8">
        <w:rPr>
          <w:rFonts w:cs="Arial"/>
          <w:sz w:val="24"/>
        </w:rPr>
        <w:t>to</w:t>
      </w:r>
      <w:r w:rsidR="00A00BA2" w:rsidRPr="004550B8">
        <w:rPr>
          <w:rFonts w:cs="Arial"/>
          <w:sz w:val="24"/>
        </w:rPr>
        <w:t xml:space="preserve"> undert</w:t>
      </w:r>
      <w:r w:rsidR="00D06D29" w:rsidRPr="004550B8">
        <w:rPr>
          <w:rFonts w:cs="Arial"/>
          <w:sz w:val="24"/>
        </w:rPr>
        <w:t>ake</w:t>
      </w:r>
      <w:r w:rsidR="00A00BA2" w:rsidRPr="004550B8">
        <w:rPr>
          <w:rFonts w:cs="Arial"/>
          <w:sz w:val="24"/>
        </w:rPr>
        <w:t xml:space="preserve"> pilot assessments</w:t>
      </w:r>
      <w:r w:rsidR="00D06D29" w:rsidRPr="004550B8">
        <w:rPr>
          <w:rFonts w:cs="Arial"/>
          <w:sz w:val="24"/>
        </w:rPr>
        <w:t xml:space="preserve"> and</w:t>
      </w:r>
      <w:r w:rsidR="00A00BA2" w:rsidRPr="004550B8">
        <w:rPr>
          <w:rFonts w:cs="Arial"/>
          <w:sz w:val="24"/>
        </w:rPr>
        <w:t xml:space="preserve"> provide detailed feedback at the conclusion of the assessment.</w:t>
      </w:r>
    </w:p>
    <w:p w14:paraId="534979C0" w14:textId="77777777" w:rsidR="007966A8" w:rsidRPr="004550B8" w:rsidRDefault="007966A8" w:rsidP="002217F7">
      <w:pPr>
        <w:rPr>
          <w:rFonts w:cs="Arial"/>
          <w:sz w:val="24"/>
        </w:rPr>
      </w:pPr>
    </w:p>
    <w:p w14:paraId="6056BA39" w14:textId="77777777" w:rsidR="00FF7DDE" w:rsidRDefault="00FF7DDE">
      <w:pPr>
        <w:jc w:val="left"/>
        <w:rPr>
          <w:rFonts w:cs="Arial"/>
          <w:sz w:val="24"/>
        </w:rPr>
      </w:pPr>
      <w:r>
        <w:rPr>
          <w:rFonts w:cs="Arial"/>
          <w:sz w:val="24"/>
        </w:rPr>
        <w:br w:type="page"/>
      </w:r>
    </w:p>
    <w:p w14:paraId="422F3F39" w14:textId="7D347418" w:rsidR="00D7033A" w:rsidRPr="004550B8" w:rsidRDefault="00B7374C">
      <w:pPr>
        <w:jc w:val="left"/>
        <w:rPr>
          <w:rFonts w:cs="Arial"/>
          <w:sz w:val="24"/>
        </w:rPr>
      </w:pPr>
      <w:r w:rsidRPr="004550B8">
        <w:rPr>
          <w:rFonts w:cs="Arial"/>
          <w:sz w:val="24"/>
        </w:rPr>
        <w:lastRenderedPageBreak/>
        <w:t>The</w:t>
      </w:r>
      <w:r w:rsidR="004B3FFF" w:rsidRPr="004550B8">
        <w:rPr>
          <w:rFonts w:cs="Arial"/>
          <w:sz w:val="24"/>
        </w:rPr>
        <w:t xml:space="preserve">re were </w:t>
      </w:r>
      <w:r w:rsidR="00A216FC" w:rsidRPr="004550B8">
        <w:rPr>
          <w:rFonts w:cs="Arial"/>
          <w:sz w:val="24"/>
        </w:rPr>
        <w:t>seventeen</w:t>
      </w:r>
      <w:r w:rsidR="004B3FFF" w:rsidRPr="004550B8">
        <w:rPr>
          <w:rFonts w:cs="Arial"/>
          <w:sz w:val="24"/>
        </w:rPr>
        <w:t xml:space="preserve"> pilot assessments completed</w:t>
      </w:r>
      <w:r w:rsidR="00D06D29" w:rsidRPr="004550B8">
        <w:rPr>
          <w:rFonts w:cs="Arial"/>
          <w:sz w:val="24"/>
        </w:rPr>
        <w:t>,</w:t>
      </w:r>
      <w:r w:rsidR="00931459" w:rsidRPr="004550B8">
        <w:rPr>
          <w:rFonts w:cs="Arial"/>
          <w:sz w:val="24"/>
        </w:rPr>
        <w:t xml:space="preserve"> these were all </w:t>
      </w:r>
      <w:r w:rsidR="009A0363" w:rsidRPr="004550B8">
        <w:rPr>
          <w:rFonts w:cs="Arial"/>
          <w:sz w:val="24"/>
        </w:rPr>
        <w:t>full pilots</w:t>
      </w:r>
      <w:r w:rsidR="009370EA" w:rsidRPr="004550B8">
        <w:rPr>
          <w:rFonts w:cs="Arial"/>
          <w:sz w:val="24"/>
        </w:rPr>
        <w:t xml:space="preserve"> </w:t>
      </w:r>
      <w:r w:rsidR="007856DF" w:rsidRPr="004550B8">
        <w:rPr>
          <w:rFonts w:cs="Arial"/>
          <w:sz w:val="24"/>
        </w:rPr>
        <w:t xml:space="preserve">of </w:t>
      </w:r>
      <w:r w:rsidR="009370EA" w:rsidRPr="004550B8">
        <w:rPr>
          <w:rFonts w:cs="Arial"/>
          <w:sz w:val="24"/>
        </w:rPr>
        <w:t xml:space="preserve">either initial assessments or </w:t>
      </w:r>
      <w:r w:rsidR="00D7033A" w:rsidRPr="004550B8">
        <w:rPr>
          <w:rFonts w:cs="Arial"/>
          <w:sz w:val="24"/>
        </w:rPr>
        <w:t>3-year</w:t>
      </w:r>
      <w:r w:rsidR="009370EA" w:rsidRPr="004550B8">
        <w:rPr>
          <w:rFonts w:cs="Arial"/>
          <w:sz w:val="24"/>
        </w:rPr>
        <w:t xml:space="preserve"> reviews</w:t>
      </w:r>
      <w:r w:rsidR="00D06D29" w:rsidRPr="004550B8">
        <w:rPr>
          <w:rFonts w:cs="Arial"/>
          <w:sz w:val="24"/>
        </w:rPr>
        <w:t xml:space="preserve"> covering</w:t>
      </w:r>
      <w:r w:rsidR="004B3FFF" w:rsidRPr="004550B8">
        <w:rPr>
          <w:rFonts w:cs="Arial"/>
          <w:sz w:val="24"/>
        </w:rPr>
        <w:t xml:space="preserve"> a diverse range of sectors includ</w:t>
      </w:r>
      <w:r w:rsidR="00D06D29" w:rsidRPr="004550B8">
        <w:rPr>
          <w:rFonts w:cs="Arial"/>
          <w:sz w:val="24"/>
        </w:rPr>
        <w:t>ing</w:t>
      </w:r>
      <w:r w:rsidR="004B3FFF" w:rsidRPr="004550B8">
        <w:rPr>
          <w:rFonts w:cs="Arial"/>
          <w:sz w:val="24"/>
        </w:rPr>
        <w:t xml:space="preserve"> </w:t>
      </w:r>
      <w:r w:rsidR="00366ECF" w:rsidRPr="004550B8">
        <w:rPr>
          <w:rFonts w:cs="Arial"/>
          <w:sz w:val="24"/>
        </w:rPr>
        <w:t xml:space="preserve">Apprenticeship Providers, Training Providers, </w:t>
      </w:r>
      <w:r w:rsidR="00AE1B38" w:rsidRPr="004550B8">
        <w:rPr>
          <w:rFonts w:cs="Arial"/>
          <w:sz w:val="24"/>
        </w:rPr>
        <w:t>National Careers Service</w:t>
      </w:r>
      <w:r w:rsidR="006C1EC4" w:rsidRPr="004550B8">
        <w:rPr>
          <w:rFonts w:cs="Arial"/>
          <w:sz w:val="24"/>
        </w:rPr>
        <w:t xml:space="preserve"> de</w:t>
      </w:r>
      <w:r w:rsidR="004F65D3" w:rsidRPr="004550B8">
        <w:rPr>
          <w:rFonts w:cs="Arial"/>
          <w:sz w:val="24"/>
        </w:rPr>
        <w:t>livery organisations</w:t>
      </w:r>
      <w:r w:rsidR="00AE1B38" w:rsidRPr="004550B8">
        <w:rPr>
          <w:rFonts w:cs="Arial"/>
          <w:sz w:val="24"/>
        </w:rPr>
        <w:t xml:space="preserve">, </w:t>
      </w:r>
      <w:r w:rsidR="006D7DFB" w:rsidRPr="004550B8">
        <w:rPr>
          <w:rFonts w:cs="Arial"/>
          <w:sz w:val="24"/>
        </w:rPr>
        <w:t xml:space="preserve">contractors who deliver </w:t>
      </w:r>
      <w:r w:rsidR="00AE1B38" w:rsidRPr="004550B8">
        <w:rPr>
          <w:rFonts w:cs="Arial"/>
          <w:sz w:val="24"/>
        </w:rPr>
        <w:t xml:space="preserve">DWP Provision, </w:t>
      </w:r>
      <w:r w:rsidR="007F6A0E" w:rsidRPr="004550B8">
        <w:rPr>
          <w:rFonts w:cs="Arial"/>
          <w:sz w:val="24"/>
        </w:rPr>
        <w:t xml:space="preserve">Adult Learning, Charities, and Housing </w:t>
      </w:r>
      <w:r w:rsidR="00BB2F6A" w:rsidRPr="004550B8">
        <w:rPr>
          <w:rFonts w:cs="Arial"/>
          <w:sz w:val="24"/>
        </w:rPr>
        <w:t>Associations</w:t>
      </w:r>
      <w:r w:rsidR="00D06D29" w:rsidRPr="004550B8">
        <w:rPr>
          <w:rFonts w:cs="Arial"/>
          <w:sz w:val="24"/>
        </w:rPr>
        <w:t xml:space="preserve">. </w:t>
      </w:r>
      <w:r w:rsidR="00377841" w:rsidRPr="004550B8">
        <w:rPr>
          <w:rFonts w:cs="Arial"/>
          <w:sz w:val="24"/>
        </w:rPr>
        <w:t xml:space="preserve">A full list of pilot organisations is show in </w:t>
      </w:r>
      <w:bookmarkStart w:id="34" w:name="_Hlk120112390"/>
      <w:r w:rsidRPr="004550B8">
        <w:rPr>
          <w:color w:val="2B579A"/>
          <w:shd w:val="clear" w:color="auto" w:fill="E6E6E6"/>
        </w:rPr>
        <w:fldChar w:fldCharType="begin"/>
      </w:r>
      <w:r w:rsidRPr="004550B8">
        <w:rPr>
          <w:sz w:val="24"/>
        </w:rPr>
        <w:instrText>HYPERLINK \l "_Appendix_2_-"</w:instrText>
      </w:r>
      <w:r w:rsidRPr="004550B8">
        <w:rPr>
          <w:color w:val="2B579A"/>
          <w:shd w:val="clear" w:color="auto" w:fill="E6E6E6"/>
        </w:rPr>
      </w:r>
      <w:r w:rsidRPr="004550B8">
        <w:rPr>
          <w:color w:val="2B579A"/>
          <w:shd w:val="clear" w:color="auto" w:fill="E6E6E6"/>
        </w:rPr>
        <w:fldChar w:fldCharType="separate"/>
      </w:r>
      <w:r w:rsidR="003E4494" w:rsidRPr="004550B8">
        <w:rPr>
          <w:rStyle w:val="Hyperlink"/>
          <w:rFonts w:cs="Arial"/>
          <w:sz w:val="24"/>
        </w:rPr>
        <w:t>A</w:t>
      </w:r>
      <w:r w:rsidR="00377841" w:rsidRPr="004550B8">
        <w:rPr>
          <w:rStyle w:val="Hyperlink"/>
          <w:rFonts w:cs="Arial"/>
          <w:sz w:val="24"/>
        </w:rPr>
        <w:t>ppendix</w:t>
      </w:r>
      <w:r w:rsidR="003E4494" w:rsidRPr="004550B8">
        <w:rPr>
          <w:rStyle w:val="Hyperlink"/>
          <w:rFonts w:cs="Arial"/>
          <w:sz w:val="24"/>
        </w:rPr>
        <w:t xml:space="preserve"> </w:t>
      </w:r>
      <w:r w:rsidR="001107A5" w:rsidRPr="004550B8">
        <w:rPr>
          <w:rStyle w:val="Hyperlink"/>
          <w:rFonts w:cs="Arial"/>
          <w:sz w:val="24"/>
        </w:rPr>
        <w:t>2</w:t>
      </w:r>
      <w:r w:rsidRPr="004550B8">
        <w:rPr>
          <w:rStyle w:val="Hyperlink"/>
          <w:rFonts w:cs="Arial"/>
          <w:sz w:val="24"/>
        </w:rPr>
        <w:fldChar w:fldCharType="end"/>
      </w:r>
      <w:bookmarkEnd w:id="34"/>
      <w:r w:rsidR="003E4494" w:rsidRPr="004550B8">
        <w:rPr>
          <w:rFonts w:cs="Arial"/>
          <w:sz w:val="24"/>
        </w:rPr>
        <w:t>.</w:t>
      </w:r>
    </w:p>
    <w:p w14:paraId="13FAB765" w14:textId="77777777" w:rsidR="00D7033A" w:rsidRPr="004550B8" w:rsidRDefault="00D7033A">
      <w:pPr>
        <w:jc w:val="left"/>
        <w:rPr>
          <w:rFonts w:cs="Arial"/>
          <w:sz w:val="24"/>
        </w:rPr>
      </w:pPr>
    </w:p>
    <w:p w14:paraId="314AB1BB" w14:textId="29FAEC38" w:rsidR="00313A0F" w:rsidRPr="004550B8" w:rsidRDefault="00D7033A" w:rsidP="000B550F">
      <w:pPr>
        <w:jc w:val="left"/>
        <w:rPr>
          <w:rFonts w:cs="Arial"/>
          <w:sz w:val="24"/>
        </w:rPr>
      </w:pPr>
      <w:r w:rsidRPr="004550B8">
        <w:rPr>
          <w:rFonts w:cs="Arial"/>
          <w:sz w:val="24"/>
        </w:rPr>
        <w:t>C</w:t>
      </w:r>
      <w:r w:rsidR="00313A0F" w:rsidRPr="004550B8">
        <w:rPr>
          <w:rFonts w:cs="Arial"/>
          <w:sz w:val="24"/>
        </w:rPr>
        <w:t>omments received following pilot activity included:</w:t>
      </w:r>
    </w:p>
    <w:p w14:paraId="35E20D23" w14:textId="77777777" w:rsidR="00C2666B" w:rsidRPr="004550B8" w:rsidRDefault="00C2666B" w:rsidP="000B550F">
      <w:pPr>
        <w:jc w:val="left"/>
        <w:rPr>
          <w:rFonts w:cs="Arial"/>
          <w:sz w:val="24"/>
        </w:rPr>
      </w:pPr>
    </w:p>
    <w:p w14:paraId="5947E8C1" w14:textId="1A530B34" w:rsidR="00E71E17" w:rsidRPr="004550B8" w:rsidRDefault="00E71E17" w:rsidP="00C2666B">
      <w:pPr>
        <w:pStyle w:val="Feedback"/>
        <w:rPr>
          <w:sz w:val="24"/>
          <w:szCs w:val="24"/>
        </w:rPr>
      </w:pPr>
      <w:r w:rsidRPr="004550B8">
        <w:rPr>
          <w:sz w:val="24"/>
          <w:szCs w:val="24"/>
        </w:rPr>
        <w:t xml:space="preserve">“It felt like it was written for </w:t>
      </w:r>
      <w:proofErr w:type="gramStart"/>
      <w:r w:rsidRPr="004550B8">
        <w:rPr>
          <w:sz w:val="24"/>
          <w:szCs w:val="24"/>
        </w:rPr>
        <w:t>us”</w:t>
      </w:r>
      <w:proofErr w:type="gramEnd"/>
    </w:p>
    <w:p w14:paraId="36B9257B" w14:textId="67885B31" w:rsidR="00E71E17" w:rsidRPr="004550B8" w:rsidRDefault="00E71E17" w:rsidP="00C2666B">
      <w:pPr>
        <w:pStyle w:val="Feedback"/>
        <w:rPr>
          <w:sz w:val="24"/>
          <w:szCs w:val="24"/>
        </w:rPr>
      </w:pPr>
      <w:r w:rsidRPr="004550B8">
        <w:rPr>
          <w:sz w:val="24"/>
          <w:szCs w:val="24"/>
        </w:rPr>
        <w:t xml:space="preserve">“It worked really </w:t>
      </w:r>
      <w:r w:rsidR="00B71F97" w:rsidRPr="004550B8">
        <w:rPr>
          <w:sz w:val="24"/>
          <w:szCs w:val="24"/>
        </w:rPr>
        <w:t>well”.</w:t>
      </w:r>
    </w:p>
    <w:p w14:paraId="0277DA11" w14:textId="751F6607" w:rsidR="00BE7B5A" w:rsidRPr="004550B8" w:rsidRDefault="00E71E17" w:rsidP="00CA35D9">
      <w:pPr>
        <w:pStyle w:val="Feedback"/>
        <w:rPr>
          <w:sz w:val="24"/>
          <w:szCs w:val="24"/>
        </w:rPr>
      </w:pPr>
      <w:r w:rsidRPr="004550B8">
        <w:rPr>
          <w:sz w:val="24"/>
          <w:szCs w:val="24"/>
        </w:rPr>
        <w:t xml:space="preserve">“The Standard was easy follow and explain to </w:t>
      </w:r>
      <w:r w:rsidR="00B71F97" w:rsidRPr="004550B8">
        <w:rPr>
          <w:sz w:val="24"/>
          <w:szCs w:val="24"/>
        </w:rPr>
        <w:t>others”.</w:t>
      </w:r>
    </w:p>
    <w:p w14:paraId="4AF55F25" w14:textId="509A04B7" w:rsidR="00BE7B5A" w:rsidRPr="004550B8" w:rsidRDefault="00E71E17" w:rsidP="00CA35D9">
      <w:pPr>
        <w:pStyle w:val="Feedback"/>
        <w:rPr>
          <w:sz w:val="24"/>
          <w:szCs w:val="24"/>
        </w:rPr>
      </w:pPr>
      <w:r w:rsidRPr="004550B8">
        <w:rPr>
          <w:sz w:val="24"/>
          <w:szCs w:val="24"/>
        </w:rPr>
        <w:t xml:space="preserve">“It helped to identify areas for </w:t>
      </w:r>
      <w:r w:rsidR="00B71F97" w:rsidRPr="004550B8">
        <w:rPr>
          <w:sz w:val="24"/>
          <w:szCs w:val="24"/>
        </w:rPr>
        <w:t>improvement”.</w:t>
      </w:r>
    </w:p>
    <w:p w14:paraId="71805397" w14:textId="29FF3693" w:rsidR="0049024D" w:rsidRPr="004550B8" w:rsidRDefault="00B5698D" w:rsidP="002217F7">
      <w:pPr>
        <w:rPr>
          <w:rFonts w:cs="Arial"/>
          <w:color w:val="010101"/>
          <w:sz w:val="24"/>
          <w:shd w:val="clear" w:color="auto" w:fill="FFFFFF"/>
        </w:rPr>
      </w:pPr>
      <w:r w:rsidRPr="004550B8">
        <w:rPr>
          <w:rStyle w:val="Strong"/>
          <w:rFonts w:cs="Arial"/>
          <w:b w:val="0"/>
          <w:bCs w:val="0"/>
          <w:color w:val="010101"/>
          <w:sz w:val="24"/>
          <w:shd w:val="clear" w:color="auto" w:fill="FFFFFF"/>
        </w:rPr>
        <w:t xml:space="preserve">Education Development Trust </w:t>
      </w:r>
      <w:r w:rsidR="0049024D" w:rsidRPr="004550B8">
        <w:rPr>
          <w:rStyle w:val="Strong"/>
          <w:rFonts w:cs="Arial"/>
          <w:b w:val="0"/>
          <w:bCs w:val="0"/>
          <w:color w:val="010101"/>
          <w:sz w:val="24"/>
          <w:shd w:val="clear" w:color="auto" w:fill="FFFFFF"/>
        </w:rPr>
        <w:t xml:space="preserve">(EDT) </w:t>
      </w:r>
      <w:r w:rsidRPr="004550B8">
        <w:rPr>
          <w:rStyle w:val="Strong"/>
          <w:rFonts w:cs="Arial"/>
          <w:b w:val="0"/>
          <w:bCs w:val="0"/>
          <w:color w:val="010101"/>
          <w:sz w:val="24"/>
          <w:shd w:val="clear" w:color="auto" w:fill="FFFFFF"/>
        </w:rPr>
        <w:t>is an international not-for-profit organisation working to improve education outcomes around the world. </w:t>
      </w:r>
      <w:r w:rsidR="0049024D" w:rsidRPr="004550B8">
        <w:rPr>
          <w:rFonts w:cs="Arial"/>
          <w:sz w:val="24"/>
        </w:rPr>
        <w:t xml:space="preserve">EDT </w:t>
      </w:r>
      <w:r w:rsidR="008C0787" w:rsidRPr="004550B8">
        <w:rPr>
          <w:rFonts w:cs="Arial"/>
          <w:sz w:val="24"/>
        </w:rPr>
        <w:t>commented</w:t>
      </w:r>
      <w:r w:rsidR="0049024D" w:rsidRPr="004550B8">
        <w:rPr>
          <w:rFonts w:cs="Arial"/>
          <w:sz w:val="24"/>
        </w:rPr>
        <w:t>:</w:t>
      </w:r>
    </w:p>
    <w:p w14:paraId="7454612F" w14:textId="77777777" w:rsidR="001F54AA" w:rsidRPr="004550B8" w:rsidRDefault="001F54AA" w:rsidP="002217F7">
      <w:pPr>
        <w:rPr>
          <w:rFonts w:cs="Arial"/>
          <w:sz w:val="24"/>
        </w:rPr>
      </w:pPr>
    </w:p>
    <w:p w14:paraId="424FE549" w14:textId="4F1098A6" w:rsidR="00BE7B5A" w:rsidRPr="004550B8" w:rsidRDefault="0049024D" w:rsidP="00CA35D9">
      <w:pPr>
        <w:pStyle w:val="Feedback"/>
        <w:rPr>
          <w:sz w:val="24"/>
          <w:szCs w:val="24"/>
        </w:rPr>
      </w:pPr>
      <w:r w:rsidRPr="004550B8">
        <w:rPr>
          <w:sz w:val="24"/>
          <w:szCs w:val="24"/>
        </w:rPr>
        <w:t>“</w:t>
      </w:r>
      <w:r w:rsidR="00184D9E" w:rsidRPr="004550B8">
        <w:rPr>
          <w:sz w:val="24"/>
          <w:szCs w:val="24"/>
        </w:rPr>
        <w:t xml:space="preserve">Thank you! It has been an amazing process to be a part of. I had already started to consider the role of the Continuous Improvement team within the Employability and Careers directorate, and how we could best support future growth, and an ever-expanding number of Information, Advice and Guidance (IAG) contracts. Being part of the pilot of the new </w:t>
      </w:r>
      <w:r w:rsidR="00184D9E" w:rsidRPr="004550B8">
        <w:rPr>
          <w:b/>
          <w:bCs/>
          <w:sz w:val="24"/>
          <w:szCs w:val="24"/>
        </w:rPr>
        <w:t>matrix</w:t>
      </w:r>
      <w:r w:rsidR="00184D9E" w:rsidRPr="004550B8">
        <w:rPr>
          <w:sz w:val="24"/>
          <w:szCs w:val="24"/>
        </w:rPr>
        <w:t xml:space="preserve"> Standard criteria was very timely and fitted in well with our own plan</w:t>
      </w:r>
      <w:r w:rsidR="00E46AD4" w:rsidRPr="004550B8">
        <w:rPr>
          <w:sz w:val="24"/>
          <w:szCs w:val="24"/>
        </w:rPr>
        <w:t>s.”</w:t>
      </w:r>
    </w:p>
    <w:p w14:paraId="4B69ABE9" w14:textId="08367259" w:rsidR="00E46AD4" w:rsidRPr="004550B8" w:rsidRDefault="00E46AD4" w:rsidP="00CA35D9">
      <w:pPr>
        <w:pStyle w:val="Feedback"/>
        <w:rPr>
          <w:sz w:val="24"/>
          <w:szCs w:val="24"/>
        </w:rPr>
      </w:pPr>
      <w:r w:rsidRPr="004550B8">
        <w:rPr>
          <w:b/>
          <w:bCs/>
          <w:sz w:val="24"/>
          <w:szCs w:val="24"/>
        </w:rPr>
        <w:t>“</w:t>
      </w:r>
      <w:r w:rsidRPr="004550B8">
        <w:rPr>
          <w:sz w:val="24"/>
          <w:szCs w:val="24"/>
        </w:rPr>
        <w:t>I welcomed the new assessment criteria. It is very much aligned to a customer journey with continuous improvement woven throughout and this, in turn, is more reflective of our organisational continuous improvement strategy. Staff who took part in the assessment commented that they felt able to share their success stories and talk about what made them most proud in delivering the service”</w:t>
      </w:r>
    </w:p>
    <w:p w14:paraId="63390213" w14:textId="7D882855" w:rsidR="00BE7B5A" w:rsidRPr="004550B8" w:rsidRDefault="005E50E7" w:rsidP="002217F7">
      <w:pPr>
        <w:rPr>
          <w:rFonts w:cs="Arial"/>
          <w:sz w:val="24"/>
        </w:rPr>
      </w:pPr>
      <w:r w:rsidRPr="004550B8">
        <w:rPr>
          <w:sz w:val="24"/>
        </w:rPr>
        <w:t xml:space="preserve">A Case Study featuring EDT is available here: </w:t>
      </w:r>
      <w:hyperlink r:id="rId18" w:history="1">
        <w:r w:rsidRPr="004550B8">
          <w:rPr>
            <w:rStyle w:val="Hyperlink"/>
            <w:rFonts w:cs="Arial"/>
            <w:sz w:val="24"/>
          </w:rPr>
          <w:t>https://matrixstandard.com/media/1235/edt-first-pilot-case-study.pdf</w:t>
        </w:r>
      </w:hyperlink>
    </w:p>
    <w:p w14:paraId="65C34FC2" w14:textId="77777777" w:rsidR="00716B9F" w:rsidRPr="004550B8" w:rsidRDefault="00716B9F" w:rsidP="006D7DFB">
      <w:pPr>
        <w:rPr>
          <w:rFonts w:cs="Arial"/>
          <w:sz w:val="24"/>
        </w:rPr>
      </w:pPr>
    </w:p>
    <w:p w14:paraId="0DD4D138" w14:textId="39AA76BB" w:rsidR="006D7DFB" w:rsidRPr="004550B8" w:rsidRDefault="00716B9F" w:rsidP="006D7DFB">
      <w:pPr>
        <w:rPr>
          <w:rFonts w:cs="Arial"/>
          <w:sz w:val="24"/>
        </w:rPr>
      </w:pPr>
      <w:r w:rsidRPr="004550B8">
        <w:rPr>
          <w:rFonts w:cs="Arial"/>
          <w:sz w:val="24"/>
        </w:rPr>
        <w:t>Another</w:t>
      </w:r>
      <w:r w:rsidR="006D7DFB" w:rsidRPr="004550B8">
        <w:rPr>
          <w:rFonts w:cs="Arial"/>
          <w:sz w:val="24"/>
        </w:rPr>
        <w:t xml:space="preserve"> of the pilot organisations, Brook, provides a range of sexual health services and wellbeing support nationwide, both to young people under 25 and, more recently, to those over 25. They commented:</w:t>
      </w:r>
    </w:p>
    <w:p w14:paraId="386AFC34" w14:textId="77777777" w:rsidR="006D7DFB" w:rsidRPr="004550B8" w:rsidRDefault="006D7DFB" w:rsidP="006D7DFB">
      <w:pPr>
        <w:rPr>
          <w:rFonts w:cs="Arial"/>
          <w:sz w:val="24"/>
          <w:highlight w:val="yellow"/>
        </w:rPr>
      </w:pPr>
    </w:p>
    <w:p w14:paraId="7B5A2CD5" w14:textId="6447CF2F" w:rsidR="006D7DFB" w:rsidRPr="004550B8" w:rsidRDefault="006D7DFB" w:rsidP="00C2666B">
      <w:pPr>
        <w:pStyle w:val="Feedback"/>
        <w:rPr>
          <w:sz w:val="24"/>
          <w:szCs w:val="24"/>
        </w:rPr>
      </w:pPr>
      <w:r w:rsidRPr="004550B8">
        <w:rPr>
          <w:sz w:val="24"/>
          <w:szCs w:val="24"/>
        </w:rPr>
        <w:t xml:space="preserve">“We really love the new Standard! We did it once under the previous criteria, and really struggled with the focus on the careers sector, with the language, and the structure of the pack. It didn't feel very logical, whereas this time with the new </w:t>
      </w:r>
      <w:r w:rsidR="000B44CD" w:rsidRPr="004550B8">
        <w:rPr>
          <w:sz w:val="24"/>
          <w:szCs w:val="24"/>
        </w:rPr>
        <w:t>S</w:t>
      </w:r>
      <w:r w:rsidRPr="004550B8">
        <w:rPr>
          <w:sz w:val="24"/>
          <w:szCs w:val="24"/>
        </w:rPr>
        <w:t>tandard it felt very logical, and it spoke to us as an organisation. It was a lot easier for me to give the Standard to my colleagues, and for them to translate it, especially if they're not doing it as their day-to-day job. It was easy for them to pick up and think, well, I know what that means for me in my role and for my team.”</w:t>
      </w:r>
    </w:p>
    <w:p w14:paraId="119919FB" w14:textId="77777777" w:rsidR="00FF7DDE" w:rsidRDefault="00FF7DDE">
      <w:pPr>
        <w:jc w:val="left"/>
        <w:rPr>
          <w:sz w:val="24"/>
        </w:rPr>
      </w:pPr>
      <w:r>
        <w:rPr>
          <w:sz w:val="24"/>
        </w:rPr>
        <w:br w:type="page"/>
      </w:r>
    </w:p>
    <w:p w14:paraId="4D76CE54" w14:textId="7A330022" w:rsidR="006D7DFB" w:rsidRPr="004550B8" w:rsidRDefault="006D7DFB" w:rsidP="006D7DFB">
      <w:pPr>
        <w:rPr>
          <w:rFonts w:cs="Arial"/>
          <w:sz w:val="24"/>
        </w:rPr>
      </w:pPr>
      <w:r w:rsidRPr="004550B8">
        <w:rPr>
          <w:sz w:val="24"/>
        </w:rPr>
        <w:lastRenderedPageBreak/>
        <w:t xml:space="preserve">A Case Study has been produced on their experience, and is available here: </w:t>
      </w:r>
      <w:hyperlink r:id="rId19" w:history="1">
        <w:r w:rsidRPr="004550B8">
          <w:rPr>
            <w:rStyle w:val="Hyperlink"/>
            <w:rFonts w:cs="Arial"/>
            <w:sz w:val="24"/>
          </w:rPr>
          <w:t>https://matrixstandard.com/media/1292/matrixstandard_casestudy_brook_june22.pdf</w:t>
        </w:r>
      </w:hyperlink>
    </w:p>
    <w:p w14:paraId="04E3AEF7" w14:textId="77777777" w:rsidR="00364751" w:rsidRPr="004550B8" w:rsidRDefault="00364751" w:rsidP="002217F7">
      <w:pPr>
        <w:rPr>
          <w:rFonts w:cs="Arial"/>
          <w:sz w:val="24"/>
          <w:highlight w:val="yellow"/>
        </w:rPr>
      </w:pPr>
    </w:p>
    <w:p w14:paraId="1D117955" w14:textId="3B60EFF5" w:rsidR="00BE7B5A" w:rsidRPr="004550B8" w:rsidRDefault="006D4C66" w:rsidP="002217F7">
      <w:pPr>
        <w:rPr>
          <w:rFonts w:cs="Arial"/>
          <w:sz w:val="24"/>
        </w:rPr>
      </w:pPr>
      <w:r w:rsidRPr="004550B8">
        <w:rPr>
          <w:rFonts w:cs="Arial"/>
          <w:sz w:val="24"/>
        </w:rPr>
        <w:t xml:space="preserve">Following the piloting </w:t>
      </w:r>
      <w:r w:rsidR="00856416" w:rsidRPr="004550B8">
        <w:rPr>
          <w:rFonts w:cs="Arial"/>
          <w:sz w:val="24"/>
        </w:rPr>
        <w:t>there were two</w:t>
      </w:r>
      <w:r w:rsidRPr="004550B8">
        <w:rPr>
          <w:rFonts w:cs="Arial"/>
          <w:sz w:val="24"/>
        </w:rPr>
        <w:t xml:space="preserve"> </w:t>
      </w:r>
      <w:r w:rsidR="002366D1" w:rsidRPr="004550B8">
        <w:rPr>
          <w:rFonts w:cs="Arial"/>
          <w:sz w:val="24"/>
        </w:rPr>
        <w:t>remaining considerations</w:t>
      </w:r>
      <w:r w:rsidRPr="004550B8">
        <w:rPr>
          <w:rFonts w:cs="Arial"/>
          <w:sz w:val="24"/>
        </w:rPr>
        <w:t xml:space="preserve"> to resolve</w:t>
      </w:r>
      <w:r w:rsidR="002366D1" w:rsidRPr="004550B8">
        <w:rPr>
          <w:rFonts w:cs="Arial"/>
          <w:sz w:val="24"/>
        </w:rPr>
        <w:t xml:space="preserve">, the first of which is </w:t>
      </w:r>
      <w:r w:rsidR="007A057E" w:rsidRPr="004550B8">
        <w:rPr>
          <w:rFonts w:cs="Arial"/>
          <w:sz w:val="24"/>
        </w:rPr>
        <w:t>the</w:t>
      </w:r>
      <w:r w:rsidR="00A8405B" w:rsidRPr="004550B8">
        <w:rPr>
          <w:rFonts w:cs="Arial"/>
          <w:sz w:val="24"/>
        </w:rPr>
        <w:t xml:space="preserve"> generic </w:t>
      </w:r>
      <w:r w:rsidR="002366D1" w:rsidRPr="004550B8">
        <w:rPr>
          <w:rFonts w:cs="Arial"/>
          <w:sz w:val="24"/>
        </w:rPr>
        <w:t>term used</w:t>
      </w:r>
      <w:r w:rsidR="007A057E" w:rsidRPr="004550B8">
        <w:rPr>
          <w:rFonts w:cs="Arial"/>
          <w:sz w:val="24"/>
        </w:rPr>
        <w:t xml:space="preserve"> for those receiving the </w:t>
      </w:r>
      <w:r w:rsidR="002366D1" w:rsidRPr="004550B8">
        <w:rPr>
          <w:rFonts w:cs="Arial"/>
          <w:sz w:val="24"/>
        </w:rPr>
        <w:t xml:space="preserve">IAG </w:t>
      </w:r>
      <w:r w:rsidR="007A057E" w:rsidRPr="004550B8">
        <w:rPr>
          <w:rFonts w:cs="Arial"/>
          <w:sz w:val="24"/>
        </w:rPr>
        <w:t>service</w:t>
      </w:r>
      <w:r w:rsidR="002366D1" w:rsidRPr="004550B8">
        <w:rPr>
          <w:rFonts w:cs="Arial"/>
          <w:sz w:val="24"/>
        </w:rPr>
        <w:t>.</w:t>
      </w:r>
      <w:r w:rsidR="006E4A87" w:rsidRPr="004550B8">
        <w:rPr>
          <w:rFonts w:cs="Arial"/>
          <w:sz w:val="24"/>
        </w:rPr>
        <w:t xml:space="preserve"> </w:t>
      </w:r>
      <w:r w:rsidR="00DA026A" w:rsidRPr="004550B8">
        <w:rPr>
          <w:rFonts w:cs="Arial"/>
          <w:sz w:val="24"/>
        </w:rPr>
        <w:t xml:space="preserve">In the </w:t>
      </w:r>
      <w:r w:rsidR="002366D1" w:rsidRPr="004550B8">
        <w:rPr>
          <w:rFonts w:cs="Arial"/>
          <w:sz w:val="24"/>
        </w:rPr>
        <w:t>current</w:t>
      </w:r>
      <w:r w:rsidR="00DA026A" w:rsidRPr="004550B8">
        <w:rPr>
          <w:rFonts w:cs="Arial"/>
          <w:sz w:val="24"/>
        </w:rPr>
        <w:t xml:space="preserve"> version of the Standard the generic term used for those who receive IAG is ‘client’</w:t>
      </w:r>
      <w:r w:rsidR="002366D1" w:rsidRPr="004550B8">
        <w:rPr>
          <w:rFonts w:cs="Arial"/>
          <w:sz w:val="24"/>
        </w:rPr>
        <w:t xml:space="preserve">. We found that </w:t>
      </w:r>
      <w:r w:rsidR="00DA026A" w:rsidRPr="004550B8">
        <w:rPr>
          <w:rFonts w:cs="Arial"/>
          <w:sz w:val="24"/>
        </w:rPr>
        <w:t xml:space="preserve">his term is not universally recognised by organisations, and in some sectors was </w:t>
      </w:r>
      <w:r w:rsidR="004A215B" w:rsidRPr="004550B8">
        <w:rPr>
          <w:rFonts w:cs="Arial"/>
          <w:sz w:val="24"/>
        </w:rPr>
        <w:t xml:space="preserve">viewed as </w:t>
      </w:r>
      <w:r w:rsidR="00DA026A" w:rsidRPr="004550B8">
        <w:rPr>
          <w:rFonts w:cs="Arial"/>
          <w:sz w:val="24"/>
        </w:rPr>
        <w:t xml:space="preserve">confusing </w:t>
      </w:r>
      <w:r w:rsidR="002366D1" w:rsidRPr="004550B8">
        <w:rPr>
          <w:rFonts w:cs="Arial"/>
          <w:sz w:val="24"/>
        </w:rPr>
        <w:t>because</w:t>
      </w:r>
      <w:r w:rsidR="00DA026A" w:rsidRPr="004550B8">
        <w:rPr>
          <w:rFonts w:cs="Arial"/>
          <w:sz w:val="24"/>
        </w:rPr>
        <w:t xml:space="preserve"> other stakeholders would be referred to as clients </w:t>
      </w:r>
      <w:r w:rsidR="00A216FC" w:rsidRPr="004550B8">
        <w:rPr>
          <w:rFonts w:cs="Arial"/>
          <w:sz w:val="24"/>
        </w:rPr>
        <w:t>or</w:t>
      </w:r>
      <w:r w:rsidR="00DA026A" w:rsidRPr="004550B8">
        <w:rPr>
          <w:rFonts w:cs="Arial"/>
          <w:sz w:val="24"/>
        </w:rPr>
        <w:t xml:space="preserve"> customers. Other terms such as ‘customer’, ‘beneficiary’, ‘service user’, ‘participant’</w:t>
      </w:r>
      <w:r w:rsidR="00B638EE" w:rsidRPr="004550B8">
        <w:rPr>
          <w:rFonts w:cs="Arial"/>
          <w:sz w:val="24"/>
        </w:rPr>
        <w:t xml:space="preserve"> and</w:t>
      </w:r>
      <w:r w:rsidR="00DA026A" w:rsidRPr="004550B8">
        <w:rPr>
          <w:rFonts w:cs="Arial"/>
          <w:sz w:val="24"/>
        </w:rPr>
        <w:t xml:space="preserve"> ‘recipient’ were </w:t>
      </w:r>
      <w:r w:rsidR="002366D1" w:rsidRPr="004550B8">
        <w:rPr>
          <w:rFonts w:cs="Arial"/>
          <w:sz w:val="24"/>
        </w:rPr>
        <w:t>explored</w:t>
      </w:r>
      <w:r w:rsidR="00DA026A" w:rsidRPr="004550B8">
        <w:rPr>
          <w:rFonts w:cs="Arial"/>
          <w:sz w:val="24"/>
        </w:rPr>
        <w:t xml:space="preserve">. There was </w:t>
      </w:r>
      <w:r w:rsidR="002366D1" w:rsidRPr="004550B8">
        <w:rPr>
          <w:rFonts w:cs="Arial"/>
          <w:sz w:val="24"/>
        </w:rPr>
        <w:t>polarised</w:t>
      </w:r>
      <w:r w:rsidR="00DA026A" w:rsidRPr="004550B8">
        <w:rPr>
          <w:rFonts w:cs="Arial"/>
          <w:sz w:val="24"/>
        </w:rPr>
        <w:t xml:space="preserve"> feedback, on most of these terms, with the most neutral </w:t>
      </w:r>
      <w:r w:rsidR="002366D1" w:rsidRPr="004550B8">
        <w:rPr>
          <w:rFonts w:cs="Arial"/>
          <w:sz w:val="24"/>
        </w:rPr>
        <w:t xml:space="preserve">being for </w:t>
      </w:r>
      <w:r w:rsidR="00DA026A" w:rsidRPr="004550B8">
        <w:rPr>
          <w:rFonts w:cs="Arial"/>
          <w:sz w:val="24"/>
        </w:rPr>
        <w:t xml:space="preserve">the term ‘recipient’. The Executive Group </w:t>
      </w:r>
      <w:r w:rsidR="002366D1" w:rsidRPr="004550B8">
        <w:rPr>
          <w:rFonts w:cs="Arial"/>
          <w:sz w:val="24"/>
        </w:rPr>
        <w:t>concluded</w:t>
      </w:r>
      <w:r w:rsidR="00DA026A" w:rsidRPr="004550B8">
        <w:rPr>
          <w:rFonts w:cs="Arial"/>
          <w:sz w:val="24"/>
        </w:rPr>
        <w:t xml:space="preserve"> there would be no ideal term for all organisations in all sectors, </w:t>
      </w:r>
      <w:r w:rsidR="002366D1" w:rsidRPr="004550B8">
        <w:rPr>
          <w:rFonts w:cs="Arial"/>
          <w:sz w:val="24"/>
        </w:rPr>
        <w:t xml:space="preserve">but the term recipient should be adopted </w:t>
      </w:r>
      <w:r w:rsidR="00DA026A" w:rsidRPr="004550B8">
        <w:rPr>
          <w:rFonts w:cs="Arial"/>
          <w:sz w:val="24"/>
        </w:rPr>
        <w:t>and a clear definition of what is meant by the term be provided.</w:t>
      </w:r>
    </w:p>
    <w:p w14:paraId="7273676B" w14:textId="77777777" w:rsidR="002366D1" w:rsidRPr="004550B8" w:rsidRDefault="002366D1" w:rsidP="002217F7">
      <w:pPr>
        <w:rPr>
          <w:rFonts w:cs="Arial"/>
          <w:sz w:val="24"/>
          <w:highlight w:val="yellow"/>
        </w:rPr>
      </w:pPr>
    </w:p>
    <w:p w14:paraId="285A6685" w14:textId="557F82CA" w:rsidR="00317093" w:rsidRPr="004550B8" w:rsidRDefault="002366D1" w:rsidP="006C484E">
      <w:pPr>
        <w:rPr>
          <w:rFonts w:cs="Arial"/>
          <w:sz w:val="24"/>
        </w:rPr>
      </w:pPr>
      <w:r w:rsidRPr="004550B8">
        <w:rPr>
          <w:rFonts w:cs="Arial"/>
          <w:sz w:val="24"/>
        </w:rPr>
        <w:t xml:space="preserve">The final consideration was for the style of writing used in the Standard and associated guidance, which has to date been written in the third person. </w:t>
      </w:r>
      <w:r w:rsidR="00AA57BF" w:rsidRPr="004550B8">
        <w:rPr>
          <w:rFonts w:cs="Arial"/>
          <w:sz w:val="24"/>
        </w:rPr>
        <w:t>On reflection it was identified</w:t>
      </w:r>
      <w:r w:rsidR="004A7963" w:rsidRPr="004550B8">
        <w:rPr>
          <w:rFonts w:cs="Arial"/>
          <w:sz w:val="24"/>
        </w:rPr>
        <w:t xml:space="preserve"> by members of the Advisory </w:t>
      </w:r>
      <w:r w:rsidRPr="004550B8">
        <w:rPr>
          <w:rFonts w:cs="Arial"/>
          <w:sz w:val="24"/>
        </w:rPr>
        <w:t xml:space="preserve">Group </w:t>
      </w:r>
      <w:r w:rsidR="004A7963" w:rsidRPr="004550B8">
        <w:rPr>
          <w:rFonts w:cs="Arial"/>
          <w:sz w:val="24"/>
        </w:rPr>
        <w:t>and Executive Group</w:t>
      </w:r>
      <w:r w:rsidR="00AA57BF" w:rsidRPr="004550B8">
        <w:rPr>
          <w:rFonts w:cs="Arial"/>
          <w:sz w:val="24"/>
        </w:rPr>
        <w:t xml:space="preserve"> that a more personal style</w:t>
      </w:r>
      <w:r w:rsidRPr="004550B8">
        <w:rPr>
          <w:rFonts w:cs="Arial"/>
          <w:sz w:val="24"/>
        </w:rPr>
        <w:t xml:space="preserve"> could be adopted</w:t>
      </w:r>
      <w:r w:rsidR="00DC0199" w:rsidRPr="004550B8">
        <w:rPr>
          <w:rFonts w:cs="Arial"/>
          <w:sz w:val="24"/>
        </w:rPr>
        <w:t xml:space="preserve"> by changing the tense from the third person to the </w:t>
      </w:r>
      <w:r w:rsidR="004A7963" w:rsidRPr="004550B8">
        <w:rPr>
          <w:rFonts w:cs="Arial"/>
          <w:sz w:val="24"/>
        </w:rPr>
        <w:t>first person in the ‘what this means in practice</w:t>
      </w:r>
      <w:r w:rsidR="00A216FC" w:rsidRPr="004550B8">
        <w:rPr>
          <w:rFonts w:cs="Arial"/>
          <w:sz w:val="24"/>
        </w:rPr>
        <w:t>’</w:t>
      </w:r>
      <w:r w:rsidR="004A7963" w:rsidRPr="004550B8">
        <w:rPr>
          <w:rFonts w:cs="Arial"/>
          <w:sz w:val="24"/>
        </w:rPr>
        <w:t xml:space="preserve"> section</w:t>
      </w:r>
      <w:r w:rsidR="00A216FC" w:rsidRPr="004550B8">
        <w:rPr>
          <w:rFonts w:cs="Arial"/>
          <w:sz w:val="24"/>
        </w:rPr>
        <w:t>.</w:t>
      </w:r>
      <w:r w:rsidR="00B35623" w:rsidRPr="004550B8">
        <w:rPr>
          <w:rFonts w:cs="Arial"/>
          <w:sz w:val="24"/>
        </w:rPr>
        <w:t xml:space="preserve"> </w:t>
      </w:r>
      <w:r w:rsidR="0023098E" w:rsidRPr="004550B8">
        <w:rPr>
          <w:rFonts w:cs="Arial"/>
          <w:sz w:val="24"/>
        </w:rPr>
        <w:t xml:space="preserve">Changing a sentence such as </w:t>
      </w:r>
      <w:r w:rsidR="00D453FF" w:rsidRPr="004550B8">
        <w:rPr>
          <w:rFonts w:cs="Arial"/>
          <w:i/>
          <w:iCs/>
          <w:sz w:val="24"/>
        </w:rPr>
        <w:t>“</w:t>
      </w:r>
      <w:r w:rsidR="00D71606" w:rsidRPr="004550B8">
        <w:rPr>
          <w:rFonts w:cs="Arial"/>
          <w:i/>
          <w:iCs/>
          <w:sz w:val="24"/>
        </w:rPr>
        <w:t>Senior managers can describe the purpose of the IAG and how it is managed</w:t>
      </w:r>
      <w:r w:rsidR="00D453FF" w:rsidRPr="004550B8">
        <w:rPr>
          <w:rFonts w:cs="Arial"/>
          <w:i/>
          <w:iCs/>
          <w:sz w:val="24"/>
        </w:rPr>
        <w:t>”</w:t>
      </w:r>
      <w:r w:rsidR="000F54D8" w:rsidRPr="004550B8">
        <w:rPr>
          <w:rFonts w:cs="Arial"/>
          <w:i/>
          <w:iCs/>
          <w:sz w:val="24"/>
        </w:rPr>
        <w:t xml:space="preserve"> to “Your senior managers will describe the purpose of your IAG and how it is managed</w:t>
      </w:r>
      <w:r w:rsidR="0023098E" w:rsidRPr="004550B8">
        <w:rPr>
          <w:rFonts w:cs="Arial"/>
          <w:i/>
          <w:iCs/>
          <w:sz w:val="24"/>
        </w:rPr>
        <w:t>.”</w:t>
      </w:r>
      <w:r w:rsidR="006632E2" w:rsidRPr="004550B8">
        <w:rPr>
          <w:rFonts w:cs="Arial"/>
          <w:sz w:val="24"/>
        </w:rPr>
        <w:t xml:space="preserve"> made the document more engaging and </w:t>
      </w:r>
      <w:r w:rsidR="000F3339" w:rsidRPr="004550B8">
        <w:rPr>
          <w:rFonts w:cs="Arial"/>
          <w:sz w:val="24"/>
        </w:rPr>
        <w:t>straight forward</w:t>
      </w:r>
      <w:r w:rsidR="006632E2" w:rsidRPr="004550B8">
        <w:rPr>
          <w:rFonts w:cs="Arial"/>
          <w:sz w:val="24"/>
        </w:rPr>
        <w:t xml:space="preserve"> to action for organisation</w:t>
      </w:r>
      <w:r w:rsidR="000F3339" w:rsidRPr="004550B8">
        <w:rPr>
          <w:rFonts w:cs="Arial"/>
          <w:sz w:val="24"/>
        </w:rPr>
        <w:t>s</w:t>
      </w:r>
      <w:r w:rsidR="00A216FC" w:rsidRPr="004550B8">
        <w:rPr>
          <w:rFonts w:cs="Arial"/>
          <w:sz w:val="24"/>
        </w:rPr>
        <w:t>.</w:t>
      </w:r>
    </w:p>
    <w:p w14:paraId="559DA426" w14:textId="77777777" w:rsidR="00317093" w:rsidRPr="00C36FBC" w:rsidRDefault="00317093">
      <w:pPr>
        <w:jc w:val="left"/>
        <w:rPr>
          <w:rFonts w:cs="Arial"/>
        </w:rPr>
      </w:pPr>
      <w:r w:rsidRPr="00C36FBC">
        <w:rPr>
          <w:rFonts w:cs="Arial"/>
        </w:rPr>
        <w:br w:type="page"/>
      </w:r>
    </w:p>
    <w:p w14:paraId="33961B44" w14:textId="77777777" w:rsidR="00317093" w:rsidRPr="00C36FBC" w:rsidRDefault="00317093" w:rsidP="000B550F">
      <w:pPr>
        <w:pStyle w:val="Heading1"/>
      </w:pPr>
      <w:bookmarkStart w:id="35" w:name="_Toc129688505"/>
      <w:r w:rsidRPr="00C36FBC">
        <w:lastRenderedPageBreak/>
        <w:t>Benefits</w:t>
      </w:r>
      <w:bookmarkEnd w:id="35"/>
    </w:p>
    <w:p w14:paraId="20A0D7D2" w14:textId="77777777" w:rsidR="00317093" w:rsidRPr="00C36FBC" w:rsidRDefault="00317093" w:rsidP="00317093">
      <w:pPr>
        <w:rPr>
          <w:rFonts w:cs="Arial"/>
        </w:rPr>
      </w:pPr>
    </w:p>
    <w:p w14:paraId="28FBDEA7" w14:textId="77777777" w:rsidR="00317093" w:rsidRPr="00C36FBC" w:rsidRDefault="00317093" w:rsidP="000B550F">
      <w:pPr>
        <w:pStyle w:val="Heading2"/>
      </w:pPr>
      <w:bookmarkStart w:id="36" w:name="_Toc117261918"/>
      <w:r w:rsidRPr="00C36FBC">
        <w:t>Benefits for Organisations</w:t>
      </w:r>
      <w:bookmarkEnd w:id="36"/>
    </w:p>
    <w:p w14:paraId="61997CB1" w14:textId="77777777" w:rsidR="00317093" w:rsidRPr="003E7E09" w:rsidRDefault="00317093" w:rsidP="00317093">
      <w:pPr>
        <w:rPr>
          <w:rFonts w:cs="Arial"/>
          <w:sz w:val="24"/>
        </w:rPr>
      </w:pPr>
      <w:r w:rsidRPr="003E7E09">
        <w:rPr>
          <w:rFonts w:cs="Arial"/>
          <w:sz w:val="24"/>
        </w:rPr>
        <w:t>The Standard is more logical to follow with a plan, do, review structure, making navigation and explanation of the Standard easier.</w:t>
      </w:r>
    </w:p>
    <w:p w14:paraId="58516BD7" w14:textId="77777777" w:rsidR="00317093" w:rsidRPr="003E7E09" w:rsidRDefault="00317093" w:rsidP="00317093">
      <w:pPr>
        <w:rPr>
          <w:rFonts w:cs="Arial"/>
          <w:sz w:val="24"/>
        </w:rPr>
      </w:pPr>
    </w:p>
    <w:p w14:paraId="46A2F344" w14:textId="77777777" w:rsidR="00317093" w:rsidRPr="003E7E09" w:rsidRDefault="00317093" w:rsidP="00317093">
      <w:pPr>
        <w:rPr>
          <w:rFonts w:cs="Arial"/>
          <w:sz w:val="24"/>
        </w:rPr>
      </w:pPr>
      <w:r w:rsidRPr="003E7E09">
        <w:rPr>
          <w:rFonts w:cs="Arial"/>
          <w:sz w:val="24"/>
        </w:rPr>
        <w:t>Duplication has been removed and themes have been placed together making the Standard easier to work with.</w:t>
      </w:r>
    </w:p>
    <w:p w14:paraId="745B6193" w14:textId="77777777" w:rsidR="00317093" w:rsidRPr="003E7E09" w:rsidRDefault="00317093" w:rsidP="00317093">
      <w:pPr>
        <w:rPr>
          <w:rFonts w:cs="Arial"/>
          <w:sz w:val="24"/>
        </w:rPr>
      </w:pPr>
    </w:p>
    <w:p w14:paraId="70BB377D" w14:textId="77777777" w:rsidR="00317093" w:rsidRPr="003E7E09" w:rsidRDefault="00317093" w:rsidP="00317093">
      <w:pPr>
        <w:rPr>
          <w:rFonts w:cs="Arial"/>
          <w:sz w:val="24"/>
        </w:rPr>
      </w:pPr>
      <w:r w:rsidRPr="003E7E09">
        <w:rPr>
          <w:rFonts w:cs="Arial"/>
          <w:sz w:val="24"/>
        </w:rPr>
        <w:t>It explicitly requires the organisation to define the service that it delivers making the assessment and measurement of delivery easier.</w:t>
      </w:r>
    </w:p>
    <w:p w14:paraId="594CB69C" w14:textId="77777777" w:rsidR="00317093" w:rsidRPr="003E7E09" w:rsidRDefault="00317093" w:rsidP="00317093">
      <w:pPr>
        <w:rPr>
          <w:rFonts w:cs="Arial"/>
          <w:sz w:val="24"/>
        </w:rPr>
      </w:pPr>
    </w:p>
    <w:p w14:paraId="6F0676C8" w14:textId="77777777" w:rsidR="00317093" w:rsidRPr="003E7E09" w:rsidRDefault="00317093" w:rsidP="00317093">
      <w:pPr>
        <w:rPr>
          <w:rFonts w:cs="Arial"/>
          <w:sz w:val="24"/>
        </w:rPr>
      </w:pPr>
      <w:r w:rsidRPr="003E7E09">
        <w:rPr>
          <w:rFonts w:cs="Arial"/>
          <w:sz w:val="24"/>
        </w:rPr>
        <w:t>The Standard now explicitly covers a range of new best practice areas which includes:</w:t>
      </w:r>
    </w:p>
    <w:p w14:paraId="6607B703" w14:textId="77777777" w:rsidR="00317093" w:rsidRPr="003E7E09" w:rsidRDefault="00317093" w:rsidP="00CA35D9">
      <w:pPr>
        <w:pStyle w:val="Bullet"/>
        <w:rPr>
          <w:sz w:val="24"/>
          <w:szCs w:val="24"/>
        </w:rPr>
      </w:pPr>
      <w:r w:rsidRPr="003E7E09">
        <w:rPr>
          <w:sz w:val="24"/>
          <w:szCs w:val="24"/>
        </w:rPr>
        <w:t>Wellbeing</w:t>
      </w:r>
    </w:p>
    <w:p w14:paraId="5104DEB5" w14:textId="77777777" w:rsidR="00317093" w:rsidRPr="003E7E09" w:rsidRDefault="00317093" w:rsidP="00CA35D9">
      <w:pPr>
        <w:pStyle w:val="Bullet"/>
        <w:rPr>
          <w:sz w:val="24"/>
          <w:szCs w:val="24"/>
        </w:rPr>
      </w:pPr>
      <w:r w:rsidRPr="003E7E09">
        <w:rPr>
          <w:sz w:val="24"/>
          <w:szCs w:val="24"/>
        </w:rPr>
        <w:t>Safeguarding</w:t>
      </w:r>
    </w:p>
    <w:p w14:paraId="42E09FD1" w14:textId="77777777" w:rsidR="00317093" w:rsidRPr="003E7E09" w:rsidRDefault="00317093" w:rsidP="00CA35D9">
      <w:pPr>
        <w:pStyle w:val="Bullet"/>
        <w:rPr>
          <w:sz w:val="24"/>
          <w:szCs w:val="24"/>
        </w:rPr>
      </w:pPr>
      <w:r w:rsidRPr="003E7E09">
        <w:rPr>
          <w:sz w:val="24"/>
          <w:szCs w:val="24"/>
        </w:rPr>
        <w:t>Data protection</w:t>
      </w:r>
    </w:p>
    <w:p w14:paraId="3E5FFB81" w14:textId="77777777" w:rsidR="00317093" w:rsidRPr="003E7E09" w:rsidRDefault="00317093" w:rsidP="00CA35D9">
      <w:pPr>
        <w:pStyle w:val="Bullet"/>
        <w:rPr>
          <w:sz w:val="24"/>
          <w:szCs w:val="24"/>
        </w:rPr>
      </w:pPr>
      <w:r w:rsidRPr="003E7E09">
        <w:rPr>
          <w:sz w:val="24"/>
          <w:szCs w:val="24"/>
        </w:rPr>
        <w:t>The skills and competence of the IAG staff</w:t>
      </w:r>
    </w:p>
    <w:p w14:paraId="034050E5" w14:textId="77777777" w:rsidR="00317093" w:rsidRPr="003E7E09" w:rsidRDefault="00317093" w:rsidP="00CA35D9">
      <w:pPr>
        <w:pStyle w:val="Bullet"/>
        <w:rPr>
          <w:sz w:val="24"/>
          <w:szCs w:val="24"/>
        </w:rPr>
      </w:pPr>
      <w:r w:rsidRPr="003E7E09">
        <w:rPr>
          <w:sz w:val="24"/>
          <w:szCs w:val="24"/>
        </w:rPr>
        <w:t xml:space="preserve">Distance </w:t>
      </w:r>
      <w:proofErr w:type="gramStart"/>
      <w:r w:rsidRPr="003E7E09">
        <w:rPr>
          <w:sz w:val="24"/>
          <w:szCs w:val="24"/>
        </w:rPr>
        <w:t>travelled</w:t>
      </w:r>
      <w:proofErr w:type="gramEnd"/>
    </w:p>
    <w:p w14:paraId="556C0A2D" w14:textId="7CE4989E" w:rsidR="00317093" w:rsidRPr="003E7E09" w:rsidRDefault="00317093" w:rsidP="00CA35D9">
      <w:pPr>
        <w:pStyle w:val="Bullet"/>
        <w:rPr>
          <w:sz w:val="24"/>
          <w:szCs w:val="24"/>
        </w:rPr>
      </w:pPr>
      <w:r w:rsidRPr="003E7E09">
        <w:rPr>
          <w:sz w:val="24"/>
          <w:szCs w:val="24"/>
        </w:rPr>
        <w:t>Measurement of both hard and soft outcomes</w:t>
      </w:r>
      <w:r w:rsidR="00EC2EC1" w:rsidRPr="003E7E09">
        <w:rPr>
          <w:sz w:val="24"/>
          <w:szCs w:val="24"/>
        </w:rPr>
        <w:t>.</w:t>
      </w:r>
    </w:p>
    <w:p w14:paraId="68BFD903" w14:textId="77777777" w:rsidR="00EC2EC1" w:rsidRPr="003E7E09" w:rsidRDefault="00EC2EC1" w:rsidP="00EC2EC1">
      <w:pPr>
        <w:spacing w:after="160"/>
        <w:ind w:left="720"/>
        <w:contextualSpacing/>
        <w:rPr>
          <w:sz w:val="24"/>
        </w:rPr>
      </w:pPr>
    </w:p>
    <w:p w14:paraId="2CCF47E7" w14:textId="61E08271" w:rsidR="00317093" w:rsidRPr="003E7E09" w:rsidRDefault="00317093" w:rsidP="00317093">
      <w:pPr>
        <w:rPr>
          <w:rFonts w:cs="Arial"/>
          <w:sz w:val="24"/>
        </w:rPr>
      </w:pPr>
      <w:r w:rsidRPr="003E7E09">
        <w:rPr>
          <w:rFonts w:cs="Arial"/>
          <w:sz w:val="24"/>
        </w:rPr>
        <w:t>New guidance links the Standard to the Gatsby Benchmarks and Ofsted</w:t>
      </w:r>
      <w:r w:rsidR="005E28F5" w:rsidRPr="003E7E09">
        <w:rPr>
          <w:rFonts w:cs="Arial"/>
          <w:sz w:val="24"/>
        </w:rPr>
        <w:t xml:space="preserve"> Education</w:t>
      </w:r>
      <w:r w:rsidRPr="003E7E09">
        <w:rPr>
          <w:rFonts w:cs="Arial"/>
          <w:sz w:val="24"/>
        </w:rPr>
        <w:t xml:space="preserve"> Inspection Framework provides a cohesive approach for organisations to adopt good practices.</w:t>
      </w:r>
    </w:p>
    <w:p w14:paraId="27063473" w14:textId="77777777" w:rsidR="00317093" w:rsidRPr="003E7E09" w:rsidRDefault="00317093" w:rsidP="00317093">
      <w:pPr>
        <w:rPr>
          <w:rFonts w:cs="Arial"/>
          <w:sz w:val="24"/>
        </w:rPr>
      </w:pPr>
    </w:p>
    <w:p w14:paraId="3416D6DA" w14:textId="77777777" w:rsidR="00317093" w:rsidRPr="003E7E09" w:rsidRDefault="00317093" w:rsidP="00317093">
      <w:pPr>
        <w:rPr>
          <w:rFonts w:cs="Arial"/>
          <w:sz w:val="24"/>
        </w:rPr>
      </w:pPr>
      <w:r w:rsidRPr="003E7E09">
        <w:rPr>
          <w:rFonts w:cs="Arial"/>
          <w:sz w:val="24"/>
        </w:rPr>
        <w:t>Sector guides showcase what “good” looks like in different settings.</w:t>
      </w:r>
    </w:p>
    <w:p w14:paraId="6B3D3013" w14:textId="77777777" w:rsidR="00317093" w:rsidRPr="003E7E09" w:rsidRDefault="00317093" w:rsidP="00317093">
      <w:pPr>
        <w:rPr>
          <w:rFonts w:cs="Arial"/>
          <w:sz w:val="24"/>
        </w:rPr>
      </w:pPr>
    </w:p>
    <w:p w14:paraId="256A42AA" w14:textId="77777777" w:rsidR="00317093" w:rsidRPr="003E7E09" w:rsidRDefault="00317093" w:rsidP="00317093">
      <w:pPr>
        <w:rPr>
          <w:rFonts w:cs="Arial"/>
          <w:sz w:val="24"/>
        </w:rPr>
      </w:pPr>
      <w:r w:rsidRPr="003E7E09">
        <w:rPr>
          <w:rFonts w:cs="Arial"/>
          <w:sz w:val="24"/>
        </w:rPr>
        <w:t>Organisations are required to gather a sound evidence base to demonstrate that the approaches being followed are based on good practice.</w:t>
      </w:r>
    </w:p>
    <w:p w14:paraId="788C2DAD" w14:textId="77777777" w:rsidR="00317093" w:rsidRPr="003E7E09" w:rsidRDefault="00317093" w:rsidP="00317093">
      <w:pPr>
        <w:rPr>
          <w:rFonts w:cs="Arial"/>
          <w:sz w:val="24"/>
        </w:rPr>
      </w:pPr>
    </w:p>
    <w:p w14:paraId="34C12F59" w14:textId="77777777" w:rsidR="00317093" w:rsidRPr="003E7E09" w:rsidRDefault="00317093" w:rsidP="00317093">
      <w:pPr>
        <w:rPr>
          <w:rFonts w:cs="Arial"/>
          <w:sz w:val="24"/>
        </w:rPr>
      </w:pPr>
      <w:r w:rsidRPr="003E7E09">
        <w:rPr>
          <w:rFonts w:cs="Arial"/>
          <w:sz w:val="24"/>
        </w:rPr>
        <w:t>The adoption of technology to support how assessments are conducted is providing added benefits making it is easier to schedule appointments and connect with a range of different sites.</w:t>
      </w:r>
    </w:p>
    <w:p w14:paraId="72423994" w14:textId="77777777" w:rsidR="00317093" w:rsidRPr="003E7E09" w:rsidRDefault="00317093" w:rsidP="00317093">
      <w:pPr>
        <w:rPr>
          <w:rFonts w:cs="Arial"/>
          <w:sz w:val="24"/>
        </w:rPr>
      </w:pPr>
    </w:p>
    <w:p w14:paraId="71A7D135" w14:textId="745EB1A2" w:rsidR="00317093" w:rsidRPr="003E7E09" w:rsidRDefault="00317093" w:rsidP="00317093">
      <w:pPr>
        <w:rPr>
          <w:rFonts w:cs="Arial"/>
          <w:sz w:val="24"/>
        </w:rPr>
      </w:pPr>
      <w:r w:rsidRPr="003E7E09">
        <w:rPr>
          <w:rFonts w:cs="Arial"/>
          <w:sz w:val="24"/>
        </w:rPr>
        <w:t xml:space="preserve">The Continuous Improvement </w:t>
      </w:r>
      <w:r w:rsidR="00EC2EC1" w:rsidRPr="003E7E09">
        <w:rPr>
          <w:rFonts w:cs="Arial"/>
          <w:sz w:val="24"/>
        </w:rPr>
        <w:t>p</w:t>
      </w:r>
      <w:r w:rsidRPr="003E7E09">
        <w:rPr>
          <w:rFonts w:cs="Arial"/>
          <w:sz w:val="24"/>
        </w:rPr>
        <w:t>rocess has been adapted to better support not only a reflective discussion but a forward</w:t>
      </w:r>
      <w:r w:rsidR="00EC2EC1" w:rsidRPr="003E7E09">
        <w:rPr>
          <w:rFonts w:cs="Arial"/>
          <w:sz w:val="24"/>
        </w:rPr>
        <w:t>-</w:t>
      </w:r>
      <w:r w:rsidRPr="003E7E09">
        <w:rPr>
          <w:rFonts w:cs="Arial"/>
          <w:sz w:val="24"/>
        </w:rPr>
        <w:t>looking one.</w:t>
      </w:r>
    </w:p>
    <w:p w14:paraId="4E11D491" w14:textId="77777777" w:rsidR="00317093" w:rsidRPr="00C36FBC" w:rsidRDefault="00317093" w:rsidP="00317093">
      <w:pPr>
        <w:rPr>
          <w:rFonts w:cs="Arial"/>
          <w:highlight w:val="yellow"/>
        </w:rPr>
      </w:pPr>
    </w:p>
    <w:p w14:paraId="1D149153" w14:textId="77777777" w:rsidR="00317093" w:rsidRPr="00C36FBC" w:rsidRDefault="00317093" w:rsidP="000B550F">
      <w:pPr>
        <w:pStyle w:val="Heading2"/>
      </w:pPr>
      <w:bookmarkStart w:id="37" w:name="_Toc117261919"/>
      <w:r w:rsidRPr="00C36FBC">
        <w:t>Benefits for Recipients</w:t>
      </w:r>
      <w:bookmarkEnd w:id="37"/>
    </w:p>
    <w:p w14:paraId="3917DE0A" w14:textId="77777777" w:rsidR="00317093" w:rsidRPr="003E7E09" w:rsidRDefault="00317093" w:rsidP="00317093">
      <w:pPr>
        <w:rPr>
          <w:rFonts w:cs="Arial"/>
          <w:sz w:val="24"/>
        </w:rPr>
      </w:pPr>
      <w:r w:rsidRPr="003E7E09">
        <w:rPr>
          <w:rFonts w:cs="Arial"/>
          <w:sz w:val="24"/>
        </w:rPr>
        <w:t>The recipients of the service must now have access to a clearly defined description of the service they should expect, thereby empowering them to make better choices and question delivery if it does not meet expectations.</w:t>
      </w:r>
    </w:p>
    <w:p w14:paraId="63AE0B02" w14:textId="77777777" w:rsidR="00317093" w:rsidRPr="003E7E09" w:rsidRDefault="00317093" w:rsidP="00317093">
      <w:pPr>
        <w:rPr>
          <w:rFonts w:cs="Arial"/>
          <w:b/>
          <w:bCs/>
          <w:sz w:val="24"/>
        </w:rPr>
      </w:pPr>
    </w:p>
    <w:p w14:paraId="26E942B7" w14:textId="77777777" w:rsidR="00317093" w:rsidRPr="003E7E09" w:rsidRDefault="00317093" w:rsidP="00317093">
      <w:pPr>
        <w:rPr>
          <w:rFonts w:cs="Arial"/>
          <w:sz w:val="24"/>
        </w:rPr>
      </w:pPr>
      <w:r w:rsidRPr="003E7E09">
        <w:rPr>
          <w:rFonts w:cs="Arial"/>
          <w:sz w:val="24"/>
        </w:rPr>
        <w:t>The assessment process makes it easier to connect with recipients of the service using technology thereby increasing their voice in the assessment.</w:t>
      </w:r>
    </w:p>
    <w:p w14:paraId="5DB12B0A" w14:textId="77777777" w:rsidR="00317093" w:rsidRPr="003E7E09" w:rsidRDefault="00317093" w:rsidP="00317093">
      <w:pPr>
        <w:rPr>
          <w:rFonts w:cs="Arial"/>
          <w:sz w:val="24"/>
        </w:rPr>
      </w:pPr>
    </w:p>
    <w:p w14:paraId="70CD0030" w14:textId="77777777" w:rsidR="00317093" w:rsidRPr="003E7E09" w:rsidRDefault="00317093" w:rsidP="00317093">
      <w:pPr>
        <w:rPr>
          <w:rFonts w:cs="Arial"/>
          <w:sz w:val="24"/>
        </w:rPr>
      </w:pPr>
      <w:r w:rsidRPr="003E7E09">
        <w:rPr>
          <w:rFonts w:cs="Arial"/>
          <w:sz w:val="24"/>
        </w:rPr>
        <w:t>The recipient’s wellbeing is considered, leading to the information, advice and guidance being more effectively received.</w:t>
      </w:r>
    </w:p>
    <w:p w14:paraId="038D1E50" w14:textId="77777777" w:rsidR="00317093" w:rsidRPr="003E7E09" w:rsidRDefault="00317093" w:rsidP="00317093">
      <w:pPr>
        <w:rPr>
          <w:rFonts w:cs="Arial"/>
          <w:sz w:val="24"/>
          <w:highlight w:val="yellow"/>
        </w:rPr>
      </w:pPr>
    </w:p>
    <w:p w14:paraId="57D093B1" w14:textId="43B356CE" w:rsidR="00317093" w:rsidRPr="003E7E09" w:rsidRDefault="00317093" w:rsidP="00317093">
      <w:pPr>
        <w:rPr>
          <w:rFonts w:cs="Arial"/>
          <w:sz w:val="24"/>
        </w:rPr>
      </w:pPr>
      <w:r w:rsidRPr="003E7E09">
        <w:rPr>
          <w:rFonts w:cs="Arial"/>
          <w:sz w:val="24"/>
        </w:rPr>
        <w:lastRenderedPageBreak/>
        <w:t>Where relevant</w:t>
      </w:r>
      <w:r w:rsidR="00485E2E" w:rsidRPr="003E7E09">
        <w:rPr>
          <w:rFonts w:cs="Arial"/>
          <w:sz w:val="24"/>
        </w:rPr>
        <w:t>,</w:t>
      </w:r>
      <w:r w:rsidRPr="003E7E09" w:rsidDel="00485E2E">
        <w:rPr>
          <w:rFonts w:cs="Arial"/>
          <w:sz w:val="24"/>
        </w:rPr>
        <w:t xml:space="preserve"> </w:t>
      </w:r>
      <w:r w:rsidRPr="003E7E09">
        <w:rPr>
          <w:rFonts w:cs="Arial"/>
          <w:sz w:val="24"/>
        </w:rPr>
        <w:t>the recipient should be working towards both hard outcomes such as gaining employment as well as soft outcomes such as gaining the confidence to have a job interview.</w:t>
      </w:r>
    </w:p>
    <w:p w14:paraId="77BEC2B7" w14:textId="77777777" w:rsidR="00317093" w:rsidRPr="003E7E09" w:rsidRDefault="00317093" w:rsidP="00317093">
      <w:pPr>
        <w:rPr>
          <w:rFonts w:cs="Arial"/>
          <w:sz w:val="24"/>
          <w:highlight w:val="yellow"/>
        </w:rPr>
      </w:pPr>
    </w:p>
    <w:p w14:paraId="6C40E961" w14:textId="7EE72C42" w:rsidR="00317093" w:rsidRPr="003E7E09" w:rsidRDefault="00317093" w:rsidP="00317093">
      <w:pPr>
        <w:rPr>
          <w:rFonts w:cs="Arial"/>
          <w:sz w:val="24"/>
        </w:rPr>
      </w:pPr>
      <w:r w:rsidRPr="003E7E09">
        <w:rPr>
          <w:rFonts w:cs="Arial"/>
          <w:sz w:val="24"/>
        </w:rPr>
        <w:t>As distance travelled is covered in the revised framework then progress should be reviewed against milestones and support offered to help</w:t>
      </w:r>
      <w:r w:rsidR="000977B6" w:rsidRPr="003E7E09">
        <w:rPr>
          <w:rFonts w:cs="Arial"/>
          <w:sz w:val="24"/>
        </w:rPr>
        <w:t xml:space="preserve"> </w:t>
      </w:r>
      <w:r w:rsidR="00EF2C40" w:rsidRPr="003E7E09">
        <w:rPr>
          <w:rFonts w:cs="Arial"/>
          <w:sz w:val="24"/>
        </w:rPr>
        <w:t>recipients to</w:t>
      </w:r>
      <w:r w:rsidRPr="003E7E09">
        <w:rPr>
          <w:rFonts w:cs="Arial"/>
          <w:sz w:val="24"/>
        </w:rPr>
        <w:t xml:space="preserve"> achieve their goals.</w:t>
      </w:r>
    </w:p>
    <w:p w14:paraId="114614AB" w14:textId="77777777" w:rsidR="00317093" w:rsidRPr="003E7E09" w:rsidRDefault="00317093" w:rsidP="00317093">
      <w:pPr>
        <w:rPr>
          <w:rFonts w:cs="Arial"/>
          <w:sz w:val="24"/>
        </w:rPr>
      </w:pPr>
    </w:p>
    <w:p w14:paraId="4893A349" w14:textId="77777777" w:rsidR="00317093" w:rsidRPr="003E7E09" w:rsidRDefault="00317093" w:rsidP="00317093">
      <w:pPr>
        <w:rPr>
          <w:rFonts w:cs="Arial"/>
          <w:sz w:val="24"/>
        </w:rPr>
      </w:pPr>
      <w:r w:rsidRPr="003E7E09">
        <w:rPr>
          <w:rFonts w:cs="Arial"/>
          <w:sz w:val="24"/>
        </w:rPr>
        <w:t>As equity is important recipients should receive support which is appropriate to their individual needs to enable them to achieve outcomes which are similar to their peers.</w:t>
      </w:r>
    </w:p>
    <w:p w14:paraId="62EC0614" w14:textId="77777777" w:rsidR="00317093" w:rsidRPr="00C36FBC" w:rsidRDefault="00317093" w:rsidP="00317093">
      <w:pPr>
        <w:rPr>
          <w:rFonts w:cs="Arial"/>
          <w:highlight w:val="yellow"/>
        </w:rPr>
      </w:pPr>
    </w:p>
    <w:p w14:paraId="13B20FF3" w14:textId="6D0B6CFF" w:rsidR="00317093" w:rsidRPr="00284773" w:rsidRDefault="00317093" w:rsidP="000B550F">
      <w:pPr>
        <w:pStyle w:val="Heading2"/>
      </w:pPr>
      <w:bookmarkStart w:id="38" w:name="_Toc117261920"/>
      <w:r w:rsidRPr="00284773">
        <w:t>Wider Benefits</w:t>
      </w:r>
      <w:bookmarkEnd w:id="38"/>
      <w:r w:rsidR="008731FD" w:rsidRPr="00284773">
        <w:t xml:space="preserve"> of the Revised Sta</w:t>
      </w:r>
      <w:r w:rsidR="003F27F6" w:rsidRPr="00284773">
        <w:t>ndard</w:t>
      </w:r>
    </w:p>
    <w:p w14:paraId="5C8B3E48" w14:textId="77777777" w:rsidR="00317093" w:rsidRDefault="00317093" w:rsidP="00317093">
      <w:pPr>
        <w:rPr>
          <w:rFonts w:cs="Arial"/>
        </w:rPr>
      </w:pPr>
    </w:p>
    <w:p w14:paraId="1181B1A4" w14:textId="609344A2" w:rsidR="00285D9F" w:rsidRPr="003E7E09" w:rsidRDefault="00285D9F" w:rsidP="00395403">
      <w:pPr>
        <w:pStyle w:val="Bullet"/>
        <w:numPr>
          <w:ilvl w:val="0"/>
          <w:numId w:val="0"/>
        </w:numPr>
        <w:rPr>
          <w:sz w:val="24"/>
          <w:szCs w:val="24"/>
        </w:rPr>
      </w:pPr>
      <w:r w:rsidRPr="003E7E09">
        <w:rPr>
          <w:sz w:val="24"/>
          <w:szCs w:val="24"/>
        </w:rPr>
        <w:t xml:space="preserve">Strengthening the relationship between the Standard and the Gatsby Benchmarks and Ofsted Common Inspection framework helps link different areas of DfE policy. </w:t>
      </w:r>
    </w:p>
    <w:p w14:paraId="32E71D6B" w14:textId="77777777" w:rsidR="00285D9F" w:rsidRPr="003E7E09" w:rsidRDefault="00285D9F" w:rsidP="00317093">
      <w:pPr>
        <w:rPr>
          <w:rFonts w:cs="Arial"/>
          <w:sz w:val="24"/>
        </w:rPr>
      </w:pPr>
    </w:p>
    <w:p w14:paraId="64E13409" w14:textId="77777777" w:rsidR="00317093" w:rsidRPr="003E7E09" w:rsidRDefault="00317093" w:rsidP="00317093">
      <w:pPr>
        <w:rPr>
          <w:rFonts w:cs="Arial"/>
          <w:sz w:val="24"/>
        </w:rPr>
      </w:pPr>
      <w:r w:rsidRPr="003E7E09">
        <w:rPr>
          <w:rFonts w:cs="Arial"/>
          <w:sz w:val="24"/>
        </w:rPr>
        <w:t>Enables better benchmarking of National Careers Services contractors by ensuring that the assessment of this service is given due prominence during the assessment of multi-faceted providers.</w:t>
      </w:r>
    </w:p>
    <w:p w14:paraId="2E961BFB" w14:textId="77777777" w:rsidR="00317093" w:rsidRPr="003E7E09" w:rsidRDefault="00317093" w:rsidP="00317093">
      <w:pPr>
        <w:rPr>
          <w:rFonts w:cs="Arial"/>
          <w:sz w:val="24"/>
        </w:rPr>
      </w:pPr>
    </w:p>
    <w:p w14:paraId="4FBC3670" w14:textId="3E482B07" w:rsidR="00317093" w:rsidRPr="003E7E09" w:rsidRDefault="00317093" w:rsidP="00317093">
      <w:pPr>
        <w:rPr>
          <w:rFonts w:cs="Arial"/>
          <w:sz w:val="24"/>
        </w:rPr>
      </w:pPr>
      <w:r w:rsidRPr="003E7E09">
        <w:rPr>
          <w:rFonts w:cs="Arial"/>
          <w:sz w:val="24"/>
        </w:rPr>
        <w:t>Raises standards across all areas of provision and does this consistently where it is mandated.</w:t>
      </w:r>
    </w:p>
    <w:p w14:paraId="47D75F30" w14:textId="77777777" w:rsidR="008B5939" w:rsidRPr="00284773" w:rsidRDefault="008B5939">
      <w:pPr>
        <w:jc w:val="left"/>
        <w:rPr>
          <w:szCs w:val="22"/>
        </w:rPr>
      </w:pPr>
      <w:r w:rsidRPr="00284773">
        <w:rPr>
          <w:szCs w:val="22"/>
        </w:rPr>
        <w:br w:type="page"/>
      </w:r>
    </w:p>
    <w:p w14:paraId="640085F5" w14:textId="77777777" w:rsidR="008B5939" w:rsidRPr="00C36FBC" w:rsidRDefault="008B5939" w:rsidP="000B550F">
      <w:pPr>
        <w:pStyle w:val="Heading1"/>
      </w:pPr>
      <w:bookmarkStart w:id="39" w:name="_Toc129688506"/>
      <w:r w:rsidRPr="00C36FBC">
        <w:lastRenderedPageBreak/>
        <w:t>Marketing</w:t>
      </w:r>
      <w:bookmarkEnd w:id="39"/>
    </w:p>
    <w:p w14:paraId="031FE9DD" w14:textId="77777777" w:rsidR="008B5939" w:rsidRPr="00C36FBC" w:rsidRDefault="008B5939" w:rsidP="008B5939">
      <w:pPr>
        <w:rPr>
          <w:rFonts w:cs="Arial"/>
        </w:rPr>
      </w:pPr>
    </w:p>
    <w:p w14:paraId="7A5B7F4D" w14:textId="154DD608" w:rsidR="008B5939" w:rsidRPr="003E7E09" w:rsidRDefault="008B5939" w:rsidP="008B5939">
      <w:pPr>
        <w:rPr>
          <w:rFonts w:cs="Arial"/>
          <w:sz w:val="24"/>
        </w:rPr>
      </w:pPr>
      <w:r w:rsidRPr="003E7E09">
        <w:rPr>
          <w:rFonts w:cs="Arial"/>
          <w:sz w:val="24"/>
        </w:rPr>
        <w:t xml:space="preserve">Launching the revised version of the Standard will be a great opportunity to engage both new and existing customers. An official launch event will bring together those who have worked on the Executive and Advisory Groups, pilot organisations and </w:t>
      </w:r>
      <w:r w:rsidR="00996946" w:rsidRPr="003E7E09">
        <w:rPr>
          <w:rFonts w:cs="Arial"/>
          <w:sz w:val="24"/>
        </w:rPr>
        <w:t>p</w:t>
      </w:r>
      <w:r w:rsidRPr="003E7E09">
        <w:rPr>
          <w:rFonts w:cs="Arial"/>
          <w:sz w:val="24"/>
        </w:rPr>
        <w:t xml:space="preserve">ractitioners. The launch and the surrounding activity will raise the profile of </w:t>
      </w:r>
      <w:r w:rsidR="007916E3" w:rsidRPr="003E7E09">
        <w:rPr>
          <w:rFonts w:cs="Arial"/>
          <w:sz w:val="24"/>
        </w:rPr>
        <w:t xml:space="preserve">the </w:t>
      </w:r>
      <w:r w:rsidRPr="003E7E09">
        <w:rPr>
          <w:rFonts w:cs="Arial"/>
          <w:sz w:val="24"/>
        </w:rPr>
        <w:t>Standard, celebrating its future, together with the modernised assessment process which will deliver it. A series of targeted marketing campaigns across 2023 will reach out to the new wider audience, mirroring the new sector guides. Therefore, there will be various campaigns including:</w:t>
      </w:r>
    </w:p>
    <w:p w14:paraId="232F99C6" w14:textId="77777777" w:rsidR="008B5939" w:rsidRPr="003E7E09" w:rsidRDefault="008B5939" w:rsidP="00CA35D9">
      <w:pPr>
        <w:pStyle w:val="Bullet"/>
        <w:rPr>
          <w:sz w:val="24"/>
          <w:szCs w:val="24"/>
        </w:rPr>
      </w:pPr>
      <w:r w:rsidRPr="003E7E09">
        <w:rPr>
          <w:sz w:val="24"/>
          <w:szCs w:val="24"/>
        </w:rPr>
        <w:t>Further Education</w:t>
      </w:r>
    </w:p>
    <w:p w14:paraId="742B0197" w14:textId="77777777" w:rsidR="008B5939" w:rsidRPr="003E7E09" w:rsidRDefault="008B5939" w:rsidP="00CA35D9">
      <w:pPr>
        <w:pStyle w:val="Bullet"/>
        <w:rPr>
          <w:sz w:val="24"/>
          <w:szCs w:val="24"/>
        </w:rPr>
      </w:pPr>
      <w:r w:rsidRPr="003E7E09">
        <w:rPr>
          <w:sz w:val="24"/>
          <w:szCs w:val="24"/>
        </w:rPr>
        <w:t>National Careers Service</w:t>
      </w:r>
    </w:p>
    <w:p w14:paraId="30E8F4B1" w14:textId="77777777" w:rsidR="008B5939" w:rsidRPr="003E7E09" w:rsidRDefault="008B5939" w:rsidP="00CA35D9">
      <w:pPr>
        <w:pStyle w:val="Bullet"/>
        <w:rPr>
          <w:sz w:val="24"/>
          <w:szCs w:val="24"/>
        </w:rPr>
      </w:pPr>
      <w:r w:rsidRPr="003E7E09">
        <w:rPr>
          <w:sz w:val="24"/>
          <w:szCs w:val="24"/>
        </w:rPr>
        <w:t>Employability</w:t>
      </w:r>
    </w:p>
    <w:p w14:paraId="7400076F" w14:textId="77777777" w:rsidR="008B5939" w:rsidRPr="003E7E09" w:rsidRDefault="008B5939" w:rsidP="00CA35D9">
      <w:pPr>
        <w:pStyle w:val="Bullet"/>
        <w:rPr>
          <w:sz w:val="24"/>
          <w:szCs w:val="24"/>
        </w:rPr>
      </w:pPr>
      <w:r w:rsidRPr="003E7E09">
        <w:rPr>
          <w:sz w:val="24"/>
          <w:szCs w:val="24"/>
        </w:rPr>
        <w:t>Money Advice</w:t>
      </w:r>
    </w:p>
    <w:p w14:paraId="2BDC947B" w14:textId="26E8D9D1" w:rsidR="008B5939" w:rsidRPr="003E7E09" w:rsidRDefault="008B5939" w:rsidP="00CA35D9">
      <w:pPr>
        <w:pStyle w:val="Bullet"/>
        <w:rPr>
          <w:sz w:val="24"/>
          <w:szCs w:val="24"/>
        </w:rPr>
      </w:pPr>
      <w:r w:rsidRPr="003E7E09">
        <w:rPr>
          <w:sz w:val="24"/>
          <w:szCs w:val="24"/>
        </w:rPr>
        <w:t>Higher Education</w:t>
      </w:r>
    </w:p>
    <w:p w14:paraId="4838F8F7" w14:textId="4E66C831" w:rsidR="008B5939" w:rsidRPr="003E7E09" w:rsidRDefault="008B5939" w:rsidP="008B5939">
      <w:pPr>
        <w:rPr>
          <w:rFonts w:cs="Arial"/>
          <w:sz w:val="24"/>
        </w:rPr>
      </w:pPr>
      <w:r w:rsidRPr="003E7E09">
        <w:rPr>
          <w:rFonts w:cs="Arial"/>
          <w:sz w:val="24"/>
        </w:rPr>
        <w:t xml:space="preserve">We intend to work with DfE </w:t>
      </w:r>
      <w:r w:rsidR="009177E8" w:rsidRPr="003E7E09">
        <w:rPr>
          <w:rFonts w:cs="Arial"/>
          <w:sz w:val="24"/>
        </w:rPr>
        <w:t xml:space="preserve">to agree </w:t>
      </w:r>
      <w:r w:rsidRPr="003E7E09">
        <w:rPr>
          <w:rFonts w:cs="Arial"/>
          <w:sz w:val="24"/>
        </w:rPr>
        <w:t xml:space="preserve">messaging </w:t>
      </w:r>
      <w:r w:rsidR="004C557C" w:rsidRPr="003E7E09">
        <w:rPr>
          <w:rFonts w:cs="Arial"/>
          <w:sz w:val="24"/>
        </w:rPr>
        <w:t>for</w:t>
      </w:r>
      <w:r w:rsidRPr="003E7E09">
        <w:rPr>
          <w:rFonts w:cs="Arial"/>
          <w:sz w:val="24"/>
        </w:rPr>
        <w:t xml:space="preserve"> organisations</w:t>
      </w:r>
      <w:r w:rsidR="004C557C" w:rsidRPr="003E7E09">
        <w:rPr>
          <w:rFonts w:cs="Arial"/>
          <w:sz w:val="24"/>
        </w:rPr>
        <w:t xml:space="preserve"> about the </w:t>
      </w:r>
      <w:r w:rsidR="00557676" w:rsidRPr="003E7E09">
        <w:rPr>
          <w:rFonts w:cs="Arial"/>
          <w:sz w:val="24"/>
        </w:rPr>
        <w:t>benefits</w:t>
      </w:r>
      <w:r w:rsidR="004C557C" w:rsidRPr="003E7E09">
        <w:rPr>
          <w:rFonts w:cs="Arial"/>
          <w:sz w:val="24"/>
        </w:rPr>
        <w:t xml:space="preserve"> of </w:t>
      </w:r>
      <w:r w:rsidR="00557676" w:rsidRPr="003E7E09">
        <w:rPr>
          <w:rFonts w:cs="Arial"/>
          <w:sz w:val="24"/>
        </w:rPr>
        <w:t xml:space="preserve">the </w:t>
      </w:r>
      <w:r w:rsidRPr="003E7E09">
        <w:rPr>
          <w:rFonts w:cs="Arial"/>
          <w:b/>
          <w:bCs/>
          <w:sz w:val="24"/>
        </w:rPr>
        <w:t>matrix</w:t>
      </w:r>
      <w:r w:rsidRPr="003E7E09">
        <w:rPr>
          <w:rFonts w:cs="Arial"/>
          <w:sz w:val="24"/>
        </w:rPr>
        <w:t xml:space="preserve"> Standard</w:t>
      </w:r>
      <w:r w:rsidR="00557676" w:rsidRPr="003E7E09">
        <w:rPr>
          <w:rFonts w:cs="Arial"/>
          <w:sz w:val="24"/>
        </w:rPr>
        <w:t>.</w:t>
      </w:r>
      <w:r w:rsidRPr="003E7E09">
        <w:rPr>
          <w:rFonts w:cs="Arial"/>
          <w:sz w:val="24"/>
        </w:rPr>
        <w:t xml:space="preserve"> We will also seek to run sessions internally for DfE as required and for key partners such as National Careers Service Prime</w:t>
      </w:r>
      <w:r w:rsidR="00EA5D0C" w:rsidRPr="003E7E09">
        <w:rPr>
          <w:rFonts w:cs="Arial"/>
          <w:sz w:val="24"/>
        </w:rPr>
        <w:t xml:space="preserve"> Contractors</w:t>
      </w:r>
      <w:r w:rsidRPr="003E7E09">
        <w:rPr>
          <w:rFonts w:cs="Arial"/>
          <w:sz w:val="24"/>
        </w:rPr>
        <w:t>.</w:t>
      </w:r>
    </w:p>
    <w:p w14:paraId="4CB4041B" w14:textId="77777777" w:rsidR="008B5939" w:rsidRPr="003E7E09" w:rsidRDefault="008B5939" w:rsidP="008B5939">
      <w:pPr>
        <w:rPr>
          <w:rFonts w:cs="Arial"/>
          <w:sz w:val="24"/>
        </w:rPr>
      </w:pPr>
    </w:p>
    <w:p w14:paraId="310E5A9F" w14:textId="485B05C7" w:rsidR="008B5939" w:rsidRPr="003E7E09" w:rsidRDefault="008B5939" w:rsidP="008B5939">
      <w:pPr>
        <w:pStyle w:val="CommentText"/>
        <w:spacing w:after="0"/>
        <w:rPr>
          <w:rFonts w:cs="Arial"/>
          <w:sz w:val="24"/>
          <w:szCs w:val="24"/>
        </w:rPr>
      </w:pPr>
      <w:r w:rsidRPr="003E7E09">
        <w:rPr>
          <w:rFonts w:cs="Arial"/>
          <w:sz w:val="24"/>
          <w:szCs w:val="24"/>
        </w:rPr>
        <w:t xml:space="preserve">Our launch marketing and communications will focus on the benefits of the Standard and point to the areas where we are seeking to raise standards around areas such as wellbeing, inclusion and measuring distance travelled. We will introduce the new aspects of the Standard and publish </w:t>
      </w:r>
      <w:r w:rsidR="00B67CBA" w:rsidRPr="003E7E09">
        <w:rPr>
          <w:rFonts w:cs="Arial"/>
          <w:sz w:val="24"/>
          <w:szCs w:val="24"/>
        </w:rPr>
        <w:t>‘</w:t>
      </w:r>
      <w:r w:rsidR="00520901" w:rsidRPr="003E7E09">
        <w:rPr>
          <w:rFonts w:cs="Arial"/>
          <w:sz w:val="24"/>
          <w:szCs w:val="24"/>
        </w:rPr>
        <w:t>t</w:t>
      </w:r>
      <w:r w:rsidRPr="003E7E09">
        <w:rPr>
          <w:rFonts w:cs="Arial"/>
          <w:sz w:val="24"/>
          <w:szCs w:val="24"/>
        </w:rPr>
        <w:t xml:space="preserve">hought </w:t>
      </w:r>
      <w:r w:rsidR="00994871" w:rsidRPr="003E7E09">
        <w:rPr>
          <w:rFonts w:cs="Arial"/>
          <w:sz w:val="24"/>
          <w:szCs w:val="24"/>
        </w:rPr>
        <w:t>l</w:t>
      </w:r>
      <w:r w:rsidRPr="003E7E09">
        <w:rPr>
          <w:rFonts w:cs="Arial"/>
          <w:sz w:val="24"/>
          <w:szCs w:val="24"/>
        </w:rPr>
        <w:t>eadership</w:t>
      </w:r>
      <w:r w:rsidR="00B67CBA" w:rsidRPr="003E7E09">
        <w:rPr>
          <w:rFonts w:cs="Arial"/>
          <w:sz w:val="24"/>
          <w:szCs w:val="24"/>
        </w:rPr>
        <w:t>’</w:t>
      </w:r>
      <w:r w:rsidRPr="003E7E09">
        <w:rPr>
          <w:rFonts w:cs="Arial"/>
          <w:sz w:val="24"/>
          <w:szCs w:val="24"/>
        </w:rPr>
        <w:t xml:space="preserve"> pieces around Digital, Wellbeing and Special Educational Needs continuing to work with our Executive and Advisory Steering Group members to ‘story-tell’ these messages. New themed webinars will be held to attract new organisations and to help transition existing accredited organisations to gain the benefits of the new Standard. Again, working in collaboration with our new and existing partners as hosts and guest speakers with affiliate marketing in their network.</w:t>
      </w:r>
    </w:p>
    <w:p w14:paraId="0EB7654C" w14:textId="77777777" w:rsidR="008B5939" w:rsidRPr="003E7E09" w:rsidRDefault="008B5939" w:rsidP="008B5939">
      <w:pPr>
        <w:pStyle w:val="CommentText"/>
        <w:spacing w:after="0"/>
        <w:rPr>
          <w:rFonts w:cs="Arial"/>
          <w:sz w:val="24"/>
          <w:szCs w:val="24"/>
        </w:rPr>
      </w:pPr>
    </w:p>
    <w:p w14:paraId="2CB5DECA" w14:textId="196FED96" w:rsidR="008B5939" w:rsidRPr="003E7E09" w:rsidRDefault="008B5939" w:rsidP="008B5939">
      <w:pPr>
        <w:pStyle w:val="CommentText"/>
        <w:spacing w:after="0"/>
        <w:rPr>
          <w:rFonts w:cs="Arial"/>
          <w:sz w:val="24"/>
          <w:szCs w:val="24"/>
        </w:rPr>
      </w:pPr>
      <w:r w:rsidRPr="003E7E09">
        <w:rPr>
          <w:rFonts w:cs="Arial"/>
          <w:sz w:val="24"/>
          <w:szCs w:val="24"/>
        </w:rPr>
        <w:t>Innovative marketing resources have been created such as documents highlighting differences between the current version and the revised version, the Ofsted and Gatsby Touchpoint Guides, sector guides (see appendices). To distribute these resources the Standard website will allow organisations to ‘self-serve’ to access to the guides they need and easily contact us for support. Additionally, a programme of events will be arranged, themed around each of the guides these events will reach out to both new and existing organisations to share good practice and attract a wider audience.</w:t>
      </w:r>
    </w:p>
    <w:p w14:paraId="5830BE7A" w14:textId="77777777" w:rsidR="008B5939" w:rsidRPr="00C36FBC" w:rsidRDefault="008B5939" w:rsidP="008B5939">
      <w:pPr>
        <w:jc w:val="left"/>
        <w:rPr>
          <w:rFonts w:cs="Arial"/>
          <w:szCs w:val="22"/>
        </w:rPr>
      </w:pPr>
      <w:r w:rsidRPr="00C36FBC">
        <w:rPr>
          <w:rFonts w:cs="Arial"/>
          <w:szCs w:val="22"/>
        </w:rPr>
        <w:br w:type="page"/>
      </w:r>
    </w:p>
    <w:p w14:paraId="13F3F6FE" w14:textId="3A8B97C7" w:rsidR="007225D7" w:rsidRPr="00C36FBC" w:rsidRDefault="00BF23E3" w:rsidP="000B550F">
      <w:pPr>
        <w:pStyle w:val="Heading1"/>
      </w:pPr>
      <w:bookmarkStart w:id="40" w:name="_Toc116456718"/>
      <w:bookmarkStart w:id="41" w:name="_Toc129688507"/>
      <w:r w:rsidRPr="00C36FBC">
        <w:lastRenderedPageBreak/>
        <w:t>Assessment Process</w:t>
      </w:r>
      <w:r w:rsidR="006E21B9" w:rsidRPr="00C36FBC">
        <w:t xml:space="preserve"> Changes</w:t>
      </w:r>
      <w:bookmarkEnd w:id="40"/>
      <w:bookmarkEnd w:id="41"/>
    </w:p>
    <w:p w14:paraId="41D7621C" w14:textId="77777777" w:rsidR="002E2D01" w:rsidRPr="00C36FBC" w:rsidRDefault="002E2D01" w:rsidP="002217F7">
      <w:pPr>
        <w:rPr>
          <w:rFonts w:cs="Arial"/>
        </w:rPr>
      </w:pPr>
    </w:p>
    <w:p w14:paraId="426870F8" w14:textId="47FAA7E4" w:rsidR="00BE7B5A" w:rsidRPr="003E7E09" w:rsidRDefault="00562ACB" w:rsidP="002217F7">
      <w:pPr>
        <w:rPr>
          <w:rFonts w:cs="Arial"/>
          <w:sz w:val="24"/>
        </w:rPr>
      </w:pPr>
      <w:r w:rsidRPr="003E7E09">
        <w:rPr>
          <w:rFonts w:cs="Arial"/>
          <w:sz w:val="24"/>
        </w:rPr>
        <w:t xml:space="preserve">The assessment process </w:t>
      </w:r>
      <w:r w:rsidR="00635752" w:rsidRPr="003E7E09">
        <w:rPr>
          <w:rFonts w:cs="Arial"/>
          <w:sz w:val="24"/>
        </w:rPr>
        <w:t>itself</w:t>
      </w:r>
      <w:r w:rsidR="002A6A3E" w:rsidRPr="003E7E09">
        <w:rPr>
          <w:rFonts w:cs="Arial"/>
          <w:sz w:val="24"/>
        </w:rPr>
        <w:t xml:space="preserve"> </w:t>
      </w:r>
      <w:r w:rsidR="00635752" w:rsidRPr="003E7E09">
        <w:rPr>
          <w:rFonts w:cs="Arial"/>
          <w:sz w:val="24"/>
        </w:rPr>
        <w:t xml:space="preserve">received positive feedback from the </w:t>
      </w:r>
      <w:r w:rsidR="00B6070B" w:rsidRPr="003E7E09">
        <w:rPr>
          <w:rFonts w:cs="Arial"/>
          <w:sz w:val="24"/>
        </w:rPr>
        <w:t xml:space="preserve">Advisory Group and from </w:t>
      </w:r>
      <w:r w:rsidR="002A6A3E" w:rsidRPr="003E7E09">
        <w:rPr>
          <w:rFonts w:cs="Arial"/>
          <w:sz w:val="24"/>
        </w:rPr>
        <w:t>the</w:t>
      </w:r>
      <w:r w:rsidR="00B6070B" w:rsidRPr="003E7E09">
        <w:rPr>
          <w:rFonts w:cs="Arial"/>
          <w:sz w:val="24"/>
        </w:rPr>
        <w:t xml:space="preserve"> </w:t>
      </w:r>
      <w:r w:rsidR="00C3771A" w:rsidRPr="003E7E09">
        <w:rPr>
          <w:rFonts w:cs="Arial"/>
          <w:sz w:val="24"/>
        </w:rPr>
        <w:t>S</w:t>
      </w:r>
      <w:r w:rsidR="00B6070B" w:rsidRPr="003E7E09">
        <w:rPr>
          <w:rFonts w:cs="Arial"/>
          <w:sz w:val="24"/>
        </w:rPr>
        <w:t>urvey</w:t>
      </w:r>
      <w:r w:rsidR="006E21B9" w:rsidRPr="003E7E09">
        <w:rPr>
          <w:rFonts w:cs="Arial"/>
          <w:sz w:val="24"/>
        </w:rPr>
        <w:t xml:space="preserve">s. </w:t>
      </w:r>
      <w:r w:rsidR="00DD791D" w:rsidRPr="003E7E09">
        <w:rPr>
          <w:rFonts w:cs="Arial"/>
          <w:sz w:val="24"/>
        </w:rPr>
        <w:t>N</w:t>
      </w:r>
      <w:r w:rsidR="00271352" w:rsidRPr="003E7E09">
        <w:rPr>
          <w:rFonts w:cs="Arial"/>
          <w:sz w:val="24"/>
        </w:rPr>
        <w:t xml:space="preserve">o major changes were </w:t>
      </w:r>
      <w:r w:rsidR="006E21B9" w:rsidRPr="003E7E09">
        <w:rPr>
          <w:rFonts w:cs="Arial"/>
          <w:sz w:val="24"/>
        </w:rPr>
        <w:t>justified</w:t>
      </w:r>
      <w:r w:rsidR="00271352" w:rsidRPr="003E7E09">
        <w:rPr>
          <w:rFonts w:cs="Arial"/>
          <w:sz w:val="24"/>
        </w:rPr>
        <w:t xml:space="preserve"> as </w:t>
      </w:r>
      <w:r w:rsidR="006E21B9" w:rsidRPr="003E7E09">
        <w:rPr>
          <w:rFonts w:cs="Arial"/>
          <w:sz w:val="24"/>
        </w:rPr>
        <w:t>the process</w:t>
      </w:r>
      <w:r w:rsidR="00271352" w:rsidRPr="003E7E09">
        <w:rPr>
          <w:rFonts w:cs="Arial"/>
          <w:sz w:val="24"/>
        </w:rPr>
        <w:t xml:space="preserve"> is </w:t>
      </w:r>
      <w:r w:rsidR="006E21B9" w:rsidRPr="003E7E09">
        <w:rPr>
          <w:rFonts w:cs="Arial"/>
          <w:sz w:val="24"/>
        </w:rPr>
        <w:t xml:space="preserve">already </w:t>
      </w:r>
      <w:r w:rsidR="00497544" w:rsidRPr="003E7E09">
        <w:rPr>
          <w:rFonts w:cs="Arial"/>
          <w:sz w:val="24"/>
        </w:rPr>
        <w:t>seen as adding value and focused on improving outcomes</w:t>
      </w:r>
      <w:r w:rsidR="00E87A56" w:rsidRPr="003E7E09">
        <w:rPr>
          <w:rFonts w:cs="Arial"/>
          <w:sz w:val="24"/>
        </w:rPr>
        <w:t>.</w:t>
      </w:r>
    </w:p>
    <w:p w14:paraId="4713103E" w14:textId="77777777" w:rsidR="00985A70" w:rsidRPr="003E7E09" w:rsidRDefault="00985A70" w:rsidP="002217F7">
      <w:pPr>
        <w:rPr>
          <w:rFonts w:cs="Arial"/>
          <w:sz w:val="24"/>
        </w:rPr>
      </w:pPr>
    </w:p>
    <w:p w14:paraId="64AE52BE" w14:textId="3F0FF317" w:rsidR="00AA4BAF" w:rsidRPr="003E7E09" w:rsidRDefault="00985A70" w:rsidP="002217F7">
      <w:pPr>
        <w:rPr>
          <w:rFonts w:cs="Arial"/>
          <w:sz w:val="24"/>
        </w:rPr>
      </w:pPr>
      <w:r w:rsidRPr="003E7E09">
        <w:rPr>
          <w:rFonts w:cs="Arial"/>
          <w:sz w:val="24"/>
        </w:rPr>
        <w:t xml:space="preserve">There are </w:t>
      </w:r>
      <w:r w:rsidR="0006751A" w:rsidRPr="003E7E09">
        <w:rPr>
          <w:rFonts w:cs="Arial"/>
          <w:sz w:val="24"/>
        </w:rPr>
        <w:t xml:space="preserve">some minor changes to </w:t>
      </w:r>
      <w:r w:rsidR="00AA4BAF" w:rsidRPr="003E7E09">
        <w:rPr>
          <w:rFonts w:cs="Arial"/>
          <w:sz w:val="24"/>
        </w:rPr>
        <w:t xml:space="preserve">the </w:t>
      </w:r>
      <w:r w:rsidR="0006751A" w:rsidRPr="003E7E09">
        <w:rPr>
          <w:rFonts w:cs="Arial"/>
          <w:sz w:val="24"/>
        </w:rPr>
        <w:t xml:space="preserve">assessment </w:t>
      </w:r>
      <w:r w:rsidR="00AA4BAF" w:rsidRPr="003E7E09">
        <w:rPr>
          <w:rFonts w:cs="Arial"/>
          <w:sz w:val="24"/>
        </w:rPr>
        <w:t>process:</w:t>
      </w:r>
    </w:p>
    <w:p w14:paraId="72FB1BFF" w14:textId="2E612ABF" w:rsidR="00AA4BAF" w:rsidRPr="003E7E09" w:rsidRDefault="00AA4BAF" w:rsidP="00CA35D9">
      <w:pPr>
        <w:pStyle w:val="Bullet"/>
        <w:rPr>
          <w:sz w:val="24"/>
          <w:szCs w:val="24"/>
        </w:rPr>
      </w:pPr>
      <w:r w:rsidRPr="003E7E09">
        <w:rPr>
          <w:sz w:val="24"/>
          <w:szCs w:val="24"/>
        </w:rPr>
        <w:t xml:space="preserve">Improvements </w:t>
      </w:r>
      <w:r w:rsidR="000E16D5" w:rsidRPr="003E7E09">
        <w:rPr>
          <w:sz w:val="24"/>
          <w:szCs w:val="24"/>
        </w:rPr>
        <w:t xml:space="preserve">to </w:t>
      </w:r>
      <w:r w:rsidR="00184E09" w:rsidRPr="003E7E09">
        <w:rPr>
          <w:sz w:val="24"/>
          <w:szCs w:val="24"/>
        </w:rPr>
        <w:t xml:space="preserve">the </w:t>
      </w:r>
      <w:r w:rsidR="000E16D5" w:rsidRPr="003E7E09">
        <w:rPr>
          <w:sz w:val="24"/>
          <w:szCs w:val="24"/>
        </w:rPr>
        <w:t>annual</w:t>
      </w:r>
      <w:r w:rsidRPr="003E7E09">
        <w:rPr>
          <w:sz w:val="24"/>
          <w:szCs w:val="24"/>
        </w:rPr>
        <w:t xml:space="preserve"> Continuous Improvement Checks</w:t>
      </w:r>
    </w:p>
    <w:p w14:paraId="55980A4E" w14:textId="771FDD20" w:rsidR="000E16D5" w:rsidRPr="003E7E09" w:rsidRDefault="000E16D5" w:rsidP="00CA35D9">
      <w:pPr>
        <w:pStyle w:val="Bullet"/>
        <w:rPr>
          <w:sz w:val="24"/>
          <w:szCs w:val="24"/>
        </w:rPr>
      </w:pPr>
      <w:bookmarkStart w:id="42" w:name="_Hlk115085644"/>
      <w:r w:rsidRPr="003E7E09">
        <w:rPr>
          <w:sz w:val="24"/>
          <w:szCs w:val="24"/>
        </w:rPr>
        <w:t xml:space="preserve">Enhancing </w:t>
      </w:r>
      <w:r w:rsidR="004D2A3C" w:rsidRPr="003E7E09">
        <w:rPr>
          <w:sz w:val="24"/>
          <w:szCs w:val="24"/>
        </w:rPr>
        <w:t xml:space="preserve">the sampling for National Careers Service </w:t>
      </w:r>
      <w:r w:rsidR="00C32F1F" w:rsidRPr="003E7E09">
        <w:rPr>
          <w:sz w:val="24"/>
          <w:szCs w:val="24"/>
        </w:rPr>
        <w:t>p</w:t>
      </w:r>
      <w:r w:rsidR="004D2A3C" w:rsidRPr="003E7E09">
        <w:rPr>
          <w:sz w:val="24"/>
          <w:szCs w:val="24"/>
        </w:rPr>
        <w:t>rovision</w:t>
      </w:r>
    </w:p>
    <w:p w14:paraId="0C7BA539" w14:textId="27B0144E" w:rsidR="004D2A3C" w:rsidRPr="003E7E09" w:rsidRDefault="004D2A3C" w:rsidP="00CA35D9">
      <w:pPr>
        <w:pStyle w:val="Bullet"/>
        <w:rPr>
          <w:sz w:val="24"/>
          <w:szCs w:val="24"/>
        </w:rPr>
      </w:pPr>
      <w:bookmarkStart w:id="43" w:name="_Hlk115085686"/>
      <w:bookmarkEnd w:id="42"/>
      <w:r w:rsidRPr="003E7E09">
        <w:rPr>
          <w:sz w:val="24"/>
          <w:szCs w:val="24"/>
        </w:rPr>
        <w:t>New</w:t>
      </w:r>
      <w:r w:rsidR="00273A98" w:rsidRPr="003E7E09">
        <w:rPr>
          <w:sz w:val="24"/>
          <w:szCs w:val="24"/>
        </w:rPr>
        <w:t xml:space="preserve"> Guidance for assessing large multi-campus FE </w:t>
      </w:r>
      <w:proofErr w:type="gramStart"/>
      <w:r w:rsidR="00273A98" w:rsidRPr="003E7E09">
        <w:rPr>
          <w:sz w:val="24"/>
          <w:szCs w:val="24"/>
        </w:rPr>
        <w:t>provision</w:t>
      </w:r>
      <w:proofErr w:type="gramEnd"/>
    </w:p>
    <w:bookmarkEnd w:id="43"/>
    <w:p w14:paraId="5D4D97EA" w14:textId="017F9668" w:rsidR="000A2BE5" w:rsidRPr="003E7E09" w:rsidRDefault="000A2BE5" w:rsidP="00CA35D9">
      <w:pPr>
        <w:pStyle w:val="Bullet"/>
        <w:rPr>
          <w:sz w:val="24"/>
          <w:szCs w:val="24"/>
        </w:rPr>
      </w:pPr>
      <w:r w:rsidRPr="003E7E09">
        <w:rPr>
          <w:sz w:val="24"/>
          <w:szCs w:val="24"/>
        </w:rPr>
        <w:t>Embedding the benefits of digital assessments in the process</w:t>
      </w:r>
    </w:p>
    <w:p w14:paraId="2C9D3399" w14:textId="2BC25A51" w:rsidR="00AA4BAF" w:rsidRPr="003E7E09" w:rsidRDefault="00954C6F" w:rsidP="002217F7">
      <w:pPr>
        <w:rPr>
          <w:rFonts w:cs="Arial"/>
          <w:sz w:val="24"/>
        </w:rPr>
      </w:pPr>
      <w:r w:rsidRPr="003E7E09">
        <w:rPr>
          <w:rFonts w:cs="Arial"/>
          <w:sz w:val="24"/>
        </w:rPr>
        <w:t>These are each dealt with in turn:</w:t>
      </w:r>
    </w:p>
    <w:p w14:paraId="030D7730" w14:textId="77777777" w:rsidR="00954C6F" w:rsidRPr="00C36FBC" w:rsidRDefault="00954C6F" w:rsidP="002217F7">
      <w:pPr>
        <w:rPr>
          <w:rFonts w:cs="Arial"/>
        </w:rPr>
      </w:pPr>
    </w:p>
    <w:p w14:paraId="3BC2B1AF" w14:textId="422A9F9F" w:rsidR="00BE7B5A" w:rsidRPr="00426A6A" w:rsidRDefault="00E15E1A" w:rsidP="000B550F">
      <w:pPr>
        <w:pStyle w:val="Heading2"/>
      </w:pPr>
      <w:bookmarkStart w:id="44" w:name="_Toc116456719"/>
      <w:bookmarkStart w:id="45" w:name="_Toc117261923"/>
      <w:r w:rsidRPr="00C36FBC">
        <w:t xml:space="preserve">Improvements to </w:t>
      </w:r>
      <w:r w:rsidR="00184E09" w:rsidRPr="00C36FBC">
        <w:t xml:space="preserve">the </w:t>
      </w:r>
      <w:r w:rsidRPr="00C36FBC">
        <w:t>annua</w:t>
      </w:r>
      <w:r w:rsidR="00184E09" w:rsidRPr="00C36FBC">
        <w:t>l Continuous Improvement Checks</w:t>
      </w:r>
      <w:bookmarkEnd w:id="44"/>
      <w:bookmarkEnd w:id="45"/>
      <w:r w:rsidR="00E87A56" w:rsidRPr="00C36FBC">
        <w:t xml:space="preserve"> </w:t>
      </w:r>
    </w:p>
    <w:p w14:paraId="49F2C47B" w14:textId="0C8F7FFB" w:rsidR="002E2D01" w:rsidRPr="003E7E09" w:rsidRDefault="00184E09" w:rsidP="002217F7">
      <w:pPr>
        <w:rPr>
          <w:rFonts w:cs="Arial"/>
          <w:sz w:val="24"/>
        </w:rPr>
      </w:pPr>
      <w:r w:rsidRPr="003E7E09">
        <w:rPr>
          <w:rFonts w:cs="Arial"/>
          <w:sz w:val="24"/>
        </w:rPr>
        <w:t>T</w:t>
      </w:r>
      <w:r w:rsidR="002A6A3E" w:rsidRPr="003E7E09">
        <w:rPr>
          <w:rFonts w:cs="Arial"/>
          <w:sz w:val="24"/>
        </w:rPr>
        <w:t xml:space="preserve">he </w:t>
      </w:r>
      <w:r w:rsidR="00BB7D12" w:rsidRPr="003E7E09">
        <w:rPr>
          <w:rFonts w:cs="Arial"/>
          <w:sz w:val="24"/>
        </w:rPr>
        <w:t>Practitioner S</w:t>
      </w:r>
      <w:r w:rsidR="00D44268" w:rsidRPr="003E7E09">
        <w:rPr>
          <w:rFonts w:cs="Arial"/>
          <w:sz w:val="24"/>
        </w:rPr>
        <w:t>urvey</w:t>
      </w:r>
      <w:r w:rsidR="00BB7D12" w:rsidRPr="003E7E09">
        <w:rPr>
          <w:rFonts w:cs="Arial"/>
          <w:sz w:val="24"/>
        </w:rPr>
        <w:t xml:space="preserve"> and the Customer Survey identified that whilst the </w:t>
      </w:r>
      <w:r w:rsidR="006E22BB" w:rsidRPr="003E7E09">
        <w:rPr>
          <w:rFonts w:cs="Arial"/>
          <w:sz w:val="24"/>
        </w:rPr>
        <w:t>annual</w:t>
      </w:r>
      <w:r w:rsidR="00F87E91" w:rsidRPr="003E7E09">
        <w:rPr>
          <w:rFonts w:cs="Arial"/>
          <w:sz w:val="24"/>
        </w:rPr>
        <w:t xml:space="preserve"> Continuous Improvement Checks were </w:t>
      </w:r>
      <w:r w:rsidR="00C84284" w:rsidRPr="003E7E09">
        <w:rPr>
          <w:rFonts w:cs="Arial"/>
          <w:sz w:val="24"/>
        </w:rPr>
        <w:t>important to p</w:t>
      </w:r>
      <w:r w:rsidR="00435B0B" w:rsidRPr="003E7E09">
        <w:rPr>
          <w:rFonts w:cs="Arial"/>
          <w:sz w:val="24"/>
        </w:rPr>
        <w:t xml:space="preserve">rotect the integrity of the </w:t>
      </w:r>
      <w:r w:rsidR="00E74ECB" w:rsidRPr="003E7E09">
        <w:rPr>
          <w:rFonts w:cs="Arial"/>
          <w:sz w:val="24"/>
        </w:rPr>
        <w:t>S</w:t>
      </w:r>
      <w:r w:rsidR="00435B0B" w:rsidRPr="003E7E09">
        <w:rPr>
          <w:rFonts w:cs="Arial"/>
          <w:sz w:val="24"/>
        </w:rPr>
        <w:t>tandard</w:t>
      </w:r>
      <w:r w:rsidR="006E22BB" w:rsidRPr="003E7E09">
        <w:rPr>
          <w:rFonts w:cs="Arial"/>
          <w:sz w:val="24"/>
        </w:rPr>
        <w:t xml:space="preserve"> and ensure organisations continuously improved the delivery of their </w:t>
      </w:r>
      <w:r w:rsidR="00284773" w:rsidRPr="003E7E09">
        <w:rPr>
          <w:rFonts w:cs="Arial"/>
          <w:sz w:val="24"/>
        </w:rPr>
        <w:t>service, they</w:t>
      </w:r>
      <w:r w:rsidR="00F87E91" w:rsidRPr="003E7E09">
        <w:rPr>
          <w:rFonts w:cs="Arial"/>
          <w:sz w:val="24"/>
        </w:rPr>
        <w:t xml:space="preserve"> </w:t>
      </w:r>
      <w:r w:rsidR="00C84284" w:rsidRPr="003E7E09">
        <w:rPr>
          <w:rFonts w:cs="Arial"/>
          <w:sz w:val="24"/>
        </w:rPr>
        <w:t xml:space="preserve">could </w:t>
      </w:r>
      <w:r w:rsidR="00E74ECB" w:rsidRPr="003E7E09">
        <w:rPr>
          <w:rFonts w:cs="Arial"/>
          <w:sz w:val="24"/>
        </w:rPr>
        <w:t xml:space="preserve">also </w:t>
      </w:r>
      <w:r w:rsidR="00C84284" w:rsidRPr="003E7E09">
        <w:rPr>
          <w:rFonts w:cs="Arial"/>
          <w:sz w:val="24"/>
        </w:rPr>
        <w:t xml:space="preserve">add further value. </w:t>
      </w:r>
      <w:r w:rsidR="00B13F66" w:rsidRPr="003E7E09">
        <w:rPr>
          <w:rFonts w:cs="Arial"/>
          <w:sz w:val="24"/>
        </w:rPr>
        <w:t>F</w:t>
      </w:r>
      <w:r w:rsidR="00435B0B" w:rsidRPr="003E7E09">
        <w:rPr>
          <w:rFonts w:cs="Arial"/>
          <w:sz w:val="24"/>
        </w:rPr>
        <w:t xml:space="preserve">ollowing further consultation </w:t>
      </w:r>
      <w:r w:rsidR="00E5237F" w:rsidRPr="003E7E09">
        <w:rPr>
          <w:rFonts w:cs="Arial"/>
          <w:sz w:val="24"/>
        </w:rPr>
        <w:t>with Practitioners and the Advisory Group</w:t>
      </w:r>
      <w:r w:rsidR="00B13F66" w:rsidRPr="003E7E09">
        <w:rPr>
          <w:rFonts w:cs="Arial"/>
          <w:sz w:val="24"/>
        </w:rPr>
        <w:t>,</w:t>
      </w:r>
      <w:r w:rsidR="00E5237F" w:rsidRPr="003E7E09">
        <w:rPr>
          <w:rFonts w:cs="Arial"/>
          <w:sz w:val="24"/>
        </w:rPr>
        <w:t xml:space="preserve"> changes were </w:t>
      </w:r>
      <w:r w:rsidR="008D5106" w:rsidRPr="003E7E09">
        <w:rPr>
          <w:rFonts w:cs="Arial"/>
          <w:sz w:val="24"/>
        </w:rPr>
        <w:t>piloted</w:t>
      </w:r>
      <w:r w:rsidR="003D2601" w:rsidRPr="003E7E09">
        <w:rPr>
          <w:rFonts w:cs="Arial"/>
          <w:sz w:val="24"/>
        </w:rPr>
        <w:t xml:space="preserve"> such as</w:t>
      </w:r>
      <w:r w:rsidR="00E74ECB" w:rsidRPr="003E7E09">
        <w:rPr>
          <w:rFonts w:cs="Arial"/>
          <w:sz w:val="24"/>
        </w:rPr>
        <w:t xml:space="preserve"> including</w:t>
      </w:r>
      <w:r w:rsidR="003D2601" w:rsidRPr="003E7E09">
        <w:rPr>
          <w:rFonts w:cs="Arial"/>
          <w:sz w:val="24"/>
        </w:rPr>
        <w:t xml:space="preserve"> </w:t>
      </w:r>
      <w:r w:rsidR="00E74ECB" w:rsidRPr="003E7E09">
        <w:rPr>
          <w:rFonts w:cs="Arial"/>
          <w:sz w:val="24"/>
        </w:rPr>
        <w:t>discussion around the organisation’s future plans</w:t>
      </w:r>
      <w:r w:rsidR="00D27E69" w:rsidRPr="003E7E09">
        <w:rPr>
          <w:rFonts w:cs="Arial"/>
          <w:sz w:val="24"/>
        </w:rPr>
        <w:t xml:space="preserve"> </w:t>
      </w:r>
      <w:r w:rsidR="006833AD" w:rsidRPr="003E7E09">
        <w:rPr>
          <w:rFonts w:cs="Arial"/>
          <w:sz w:val="24"/>
        </w:rPr>
        <w:t>and</w:t>
      </w:r>
      <w:r w:rsidR="00E74ECB" w:rsidRPr="003E7E09">
        <w:rPr>
          <w:rFonts w:cs="Arial"/>
          <w:sz w:val="24"/>
        </w:rPr>
        <w:t xml:space="preserve"> simplifying</w:t>
      </w:r>
      <w:r w:rsidR="008D5106" w:rsidRPr="003E7E09">
        <w:rPr>
          <w:rFonts w:cs="Arial"/>
          <w:sz w:val="24"/>
        </w:rPr>
        <w:t xml:space="preserve"> the </w:t>
      </w:r>
      <w:r w:rsidR="00090D63" w:rsidRPr="003E7E09">
        <w:rPr>
          <w:rFonts w:cs="Arial"/>
          <w:sz w:val="24"/>
        </w:rPr>
        <w:t>documentation</w:t>
      </w:r>
      <w:r w:rsidR="00E74ECB" w:rsidRPr="003E7E09">
        <w:rPr>
          <w:rFonts w:cs="Arial"/>
          <w:sz w:val="24"/>
        </w:rPr>
        <w:t xml:space="preserve"> used in the</w:t>
      </w:r>
      <w:r w:rsidR="00284773" w:rsidRPr="003E7E09">
        <w:rPr>
          <w:rFonts w:cs="Arial"/>
          <w:sz w:val="24"/>
        </w:rPr>
        <w:t xml:space="preserve"> </w:t>
      </w:r>
      <w:r w:rsidR="006E22BB" w:rsidRPr="003E7E09">
        <w:rPr>
          <w:rFonts w:cs="Arial"/>
          <w:sz w:val="24"/>
        </w:rPr>
        <w:t>CICs</w:t>
      </w:r>
      <w:r w:rsidR="00E74ECB" w:rsidRPr="003E7E09">
        <w:rPr>
          <w:rFonts w:cs="Arial"/>
          <w:sz w:val="24"/>
        </w:rPr>
        <w:t>.</w:t>
      </w:r>
      <w:r w:rsidR="00090D63" w:rsidRPr="003E7E09">
        <w:rPr>
          <w:rFonts w:cs="Arial"/>
          <w:sz w:val="24"/>
        </w:rPr>
        <w:t xml:space="preserve"> </w:t>
      </w:r>
      <w:r w:rsidR="00E74ECB" w:rsidRPr="003E7E09">
        <w:rPr>
          <w:rFonts w:cs="Arial"/>
          <w:sz w:val="24"/>
        </w:rPr>
        <w:t>The</w:t>
      </w:r>
      <w:r w:rsidR="00B13F66" w:rsidRPr="003E7E09">
        <w:rPr>
          <w:rFonts w:cs="Arial"/>
          <w:sz w:val="24"/>
        </w:rPr>
        <w:t xml:space="preserve"> same</w:t>
      </w:r>
      <w:r w:rsidR="00022590" w:rsidRPr="003E7E09">
        <w:rPr>
          <w:rFonts w:cs="Arial"/>
          <w:sz w:val="24"/>
        </w:rPr>
        <w:t xml:space="preserve"> form</w:t>
      </w:r>
      <w:r w:rsidR="00E74ECB" w:rsidRPr="003E7E09">
        <w:rPr>
          <w:rFonts w:cs="Arial"/>
          <w:sz w:val="24"/>
        </w:rPr>
        <w:t xml:space="preserve"> design is used</w:t>
      </w:r>
      <w:r w:rsidR="00022590" w:rsidRPr="003E7E09">
        <w:rPr>
          <w:rFonts w:cs="Arial"/>
          <w:sz w:val="24"/>
        </w:rPr>
        <w:t xml:space="preserve"> for </w:t>
      </w:r>
      <w:r w:rsidR="00B13F66" w:rsidRPr="003E7E09">
        <w:rPr>
          <w:rFonts w:cs="Arial"/>
          <w:sz w:val="24"/>
        </w:rPr>
        <w:t xml:space="preserve">both annual </w:t>
      </w:r>
      <w:r w:rsidR="006E22BB" w:rsidRPr="003E7E09">
        <w:rPr>
          <w:rFonts w:cs="Arial"/>
          <w:sz w:val="24"/>
        </w:rPr>
        <w:t xml:space="preserve">CICs </w:t>
      </w:r>
      <w:r w:rsidR="00E74ECB" w:rsidRPr="003E7E09">
        <w:rPr>
          <w:rFonts w:cs="Arial"/>
          <w:sz w:val="24"/>
        </w:rPr>
        <w:t>(rather than the current different layout for each year), and these now</w:t>
      </w:r>
      <w:r w:rsidR="00022590" w:rsidRPr="003E7E09">
        <w:rPr>
          <w:rFonts w:cs="Arial"/>
          <w:sz w:val="24"/>
        </w:rPr>
        <w:t xml:space="preserve"> </w:t>
      </w:r>
      <w:r w:rsidR="00E74ECB" w:rsidRPr="003E7E09">
        <w:rPr>
          <w:rFonts w:cs="Arial"/>
          <w:sz w:val="24"/>
        </w:rPr>
        <w:t>consolidate</w:t>
      </w:r>
      <w:r w:rsidR="004D76CF" w:rsidRPr="003E7E09">
        <w:rPr>
          <w:rFonts w:cs="Arial"/>
          <w:sz w:val="24"/>
        </w:rPr>
        <w:t xml:space="preserve"> the </w:t>
      </w:r>
      <w:r w:rsidR="00B13F66" w:rsidRPr="003E7E09">
        <w:rPr>
          <w:rFonts w:cs="Arial"/>
          <w:sz w:val="24"/>
        </w:rPr>
        <w:t>A</w:t>
      </w:r>
      <w:r w:rsidR="004D76CF" w:rsidRPr="003E7E09">
        <w:rPr>
          <w:rFonts w:cs="Arial"/>
          <w:sz w:val="24"/>
        </w:rPr>
        <w:t>ssessor</w:t>
      </w:r>
      <w:r w:rsidR="00B13F66" w:rsidRPr="003E7E09">
        <w:rPr>
          <w:rFonts w:cs="Arial"/>
          <w:sz w:val="24"/>
        </w:rPr>
        <w:t>’s</w:t>
      </w:r>
      <w:r w:rsidR="004D76CF" w:rsidRPr="003E7E09">
        <w:rPr>
          <w:rFonts w:cs="Arial"/>
          <w:sz w:val="24"/>
        </w:rPr>
        <w:t xml:space="preserve"> feedback to avoid duplication and</w:t>
      </w:r>
      <w:r w:rsidR="00B13F66" w:rsidRPr="003E7E09">
        <w:rPr>
          <w:rFonts w:cs="Arial"/>
          <w:sz w:val="24"/>
        </w:rPr>
        <w:t xml:space="preserve"> to</w:t>
      </w:r>
      <w:r w:rsidR="004D76CF" w:rsidRPr="003E7E09">
        <w:rPr>
          <w:rFonts w:cs="Arial"/>
          <w:sz w:val="24"/>
        </w:rPr>
        <w:t xml:space="preserve"> </w:t>
      </w:r>
      <w:r w:rsidR="00D37AB3" w:rsidRPr="003E7E09">
        <w:rPr>
          <w:rFonts w:cs="Arial"/>
          <w:sz w:val="24"/>
        </w:rPr>
        <w:t xml:space="preserve">better </w:t>
      </w:r>
      <w:r w:rsidR="004D76CF" w:rsidRPr="003E7E09">
        <w:rPr>
          <w:rFonts w:cs="Arial"/>
          <w:sz w:val="24"/>
        </w:rPr>
        <w:t>connect rel</w:t>
      </w:r>
      <w:r w:rsidR="00D37AB3" w:rsidRPr="003E7E09">
        <w:rPr>
          <w:rFonts w:cs="Arial"/>
          <w:sz w:val="24"/>
        </w:rPr>
        <w:t>ated themes</w:t>
      </w:r>
      <w:r w:rsidR="00F66CE4" w:rsidRPr="003E7E09">
        <w:rPr>
          <w:rFonts w:cs="Arial"/>
          <w:sz w:val="24"/>
        </w:rPr>
        <w:t>.</w:t>
      </w:r>
      <w:r w:rsidR="00B855C0" w:rsidRPr="003E7E09">
        <w:rPr>
          <w:rFonts w:cs="Arial"/>
          <w:sz w:val="24"/>
        </w:rPr>
        <w:t xml:space="preserve"> </w:t>
      </w:r>
      <w:r w:rsidR="00531C3B" w:rsidRPr="003E7E09">
        <w:rPr>
          <w:rFonts w:cs="Arial"/>
          <w:sz w:val="24"/>
        </w:rPr>
        <w:t xml:space="preserve">10 </w:t>
      </w:r>
      <w:r w:rsidR="009E5C9A" w:rsidRPr="003E7E09">
        <w:rPr>
          <w:rFonts w:cs="Arial"/>
          <w:sz w:val="24"/>
        </w:rPr>
        <w:t>p</w:t>
      </w:r>
      <w:r w:rsidR="00531C3B" w:rsidRPr="003E7E09">
        <w:rPr>
          <w:rFonts w:cs="Arial"/>
          <w:sz w:val="24"/>
        </w:rPr>
        <w:t xml:space="preserve">ilots were </w:t>
      </w:r>
      <w:r w:rsidR="00B54888" w:rsidRPr="003E7E09">
        <w:rPr>
          <w:rFonts w:cs="Arial"/>
          <w:sz w:val="24"/>
        </w:rPr>
        <w:t>conducted using the new documentation the organisation</w:t>
      </w:r>
      <w:r w:rsidR="00275A5D" w:rsidRPr="003E7E09">
        <w:rPr>
          <w:rFonts w:cs="Arial"/>
          <w:sz w:val="24"/>
        </w:rPr>
        <w:t>s</w:t>
      </w:r>
      <w:r w:rsidR="00B54888" w:rsidRPr="003E7E09">
        <w:rPr>
          <w:rFonts w:cs="Arial"/>
          <w:sz w:val="24"/>
        </w:rPr>
        <w:t xml:space="preserve"> involved are detailed in</w:t>
      </w:r>
      <w:r w:rsidR="0096019F" w:rsidRPr="003E7E09">
        <w:rPr>
          <w:rFonts w:cs="Arial"/>
          <w:sz w:val="24"/>
        </w:rPr>
        <w:t xml:space="preserve"> </w:t>
      </w:r>
      <w:hyperlink w:anchor="_Appendix_2_-" w:history="1">
        <w:r w:rsidR="0096019F" w:rsidRPr="003E7E09">
          <w:rPr>
            <w:rStyle w:val="Hyperlink"/>
            <w:rFonts w:cs="Arial"/>
            <w:sz w:val="24"/>
          </w:rPr>
          <w:t>Appendix 2</w:t>
        </w:r>
      </w:hyperlink>
      <w:r w:rsidR="00EE0831" w:rsidRPr="003E7E09">
        <w:rPr>
          <w:rFonts w:cs="Arial"/>
          <w:sz w:val="24"/>
        </w:rPr>
        <w:t>.</w:t>
      </w:r>
      <w:r w:rsidR="00B54888" w:rsidRPr="003E7E09">
        <w:rPr>
          <w:rFonts w:cs="Arial"/>
          <w:sz w:val="24"/>
        </w:rPr>
        <w:t xml:space="preserve"> </w:t>
      </w:r>
      <w:r w:rsidR="00B855C0" w:rsidRPr="003E7E09">
        <w:rPr>
          <w:rFonts w:cs="Arial"/>
          <w:sz w:val="24"/>
        </w:rPr>
        <w:t xml:space="preserve">The feedback on the changes has been </w:t>
      </w:r>
      <w:r w:rsidR="00A631E5" w:rsidRPr="003E7E09">
        <w:rPr>
          <w:rFonts w:cs="Arial"/>
          <w:sz w:val="24"/>
        </w:rPr>
        <w:t>positive from all parties</w:t>
      </w:r>
      <w:r w:rsidR="001D1A99" w:rsidRPr="003E7E09">
        <w:rPr>
          <w:rFonts w:cs="Arial"/>
          <w:sz w:val="24"/>
        </w:rPr>
        <w:t xml:space="preserve"> as </w:t>
      </w:r>
      <w:r w:rsidR="00462B76" w:rsidRPr="003E7E09">
        <w:rPr>
          <w:rFonts w:cs="Arial"/>
          <w:sz w:val="24"/>
        </w:rPr>
        <w:t xml:space="preserve">it is </w:t>
      </w:r>
      <w:r w:rsidR="00385AA7" w:rsidRPr="003E7E09">
        <w:rPr>
          <w:rFonts w:cs="Arial"/>
          <w:sz w:val="24"/>
        </w:rPr>
        <w:t>easier</w:t>
      </w:r>
      <w:r w:rsidR="00820798" w:rsidRPr="003E7E09">
        <w:rPr>
          <w:rFonts w:cs="Arial"/>
          <w:sz w:val="24"/>
        </w:rPr>
        <w:t xml:space="preserve"> </w:t>
      </w:r>
      <w:r w:rsidR="00385AA7" w:rsidRPr="003E7E09">
        <w:rPr>
          <w:rFonts w:cs="Arial"/>
          <w:sz w:val="24"/>
        </w:rPr>
        <w:t>to review</w:t>
      </w:r>
      <w:r w:rsidR="00820798" w:rsidRPr="003E7E09">
        <w:rPr>
          <w:rFonts w:cs="Arial"/>
          <w:sz w:val="24"/>
        </w:rPr>
        <w:t xml:space="preserve"> progress overtime and </w:t>
      </w:r>
      <w:r w:rsidR="007079B4" w:rsidRPr="003E7E09">
        <w:rPr>
          <w:rFonts w:cs="Arial"/>
          <w:sz w:val="24"/>
        </w:rPr>
        <w:t xml:space="preserve">the </w:t>
      </w:r>
      <w:r w:rsidR="00653C3E" w:rsidRPr="003E7E09">
        <w:rPr>
          <w:rFonts w:cs="Arial"/>
          <w:sz w:val="24"/>
        </w:rPr>
        <w:t>process</w:t>
      </w:r>
      <w:r w:rsidR="00385AA7" w:rsidRPr="003E7E09">
        <w:rPr>
          <w:rFonts w:cs="Arial"/>
          <w:sz w:val="24"/>
        </w:rPr>
        <w:t xml:space="preserve"> is more forward lookin</w:t>
      </w:r>
      <w:r w:rsidR="00666328" w:rsidRPr="003E7E09">
        <w:rPr>
          <w:rFonts w:cs="Arial"/>
          <w:sz w:val="24"/>
        </w:rPr>
        <w:t>g</w:t>
      </w:r>
      <w:r w:rsidR="00A631E5" w:rsidRPr="003E7E09">
        <w:rPr>
          <w:rFonts w:cs="Arial"/>
          <w:sz w:val="24"/>
        </w:rPr>
        <w:t>.</w:t>
      </w:r>
    </w:p>
    <w:p w14:paraId="7469EAF4" w14:textId="77777777" w:rsidR="006375F1" w:rsidRPr="003E7E09" w:rsidRDefault="006375F1" w:rsidP="002217F7">
      <w:pPr>
        <w:rPr>
          <w:rFonts w:cs="Arial"/>
          <w:sz w:val="24"/>
        </w:rPr>
      </w:pPr>
    </w:p>
    <w:p w14:paraId="61A677AB" w14:textId="107E2568" w:rsidR="006E21B9" w:rsidRPr="00E944D3" w:rsidRDefault="000F6A88" w:rsidP="000B550F">
      <w:pPr>
        <w:pStyle w:val="Heading2"/>
      </w:pPr>
      <w:bookmarkStart w:id="46" w:name="_Toc116456720"/>
      <w:bookmarkStart w:id="47" w:name="_Toc117261924"/>
      <w:r w:rsidRPr="00E944D3">
        <w:t xml:space="preserve">Enhancing the </w:t>
      </w:r>
      <w:r w:rsidR="00D50E19" w:rsidRPr="00E944D3">
        <w:t>s</w:t>
      </w:r>
      <w:r w:rsidRPr="00E944D3">
        <w:t xml:space="preserve">ampling for National Careers Service </w:t>
      </w:r>
      <w:r w:rsidR="00183587">
        <w:t>p</w:t>
      </w:r>
      <w:r w:rsidRPr="00E944D3">
        <w:t>rovision</w:t>
      </w:r>
      <w:bookmarkEnd w:id="46"/>
      <w:bookmarkEnd w:id="47"/>
    </w:p>
    <w:p w14:paraId="7A8020D7" w14:textId="77777777" w:rsidR="00FF7583" w:rsidRPr="004623D3" w:rsidRDefault="00FF7583" w:rsidP="00FF7583">
      <w:pPr>
        <w:pStyle w:val="paragraph"/>
        <w:spacing w:before="0" w:beforeAutospacing="0" w:after="0" w:afterAutospacing="0"/>
        <w:jc w:val="both"/>
        <w:textAlignment w:val="baseline"/>
        <w:rPr>
          <w:rFonts w:ascii="Arial" w:hAnsi="Arial" w:cs="Arial"/>
        </w:rPr>
      </w:pPr>
      <w:r w:rsidRPr="004623D3">
        <w:rPr>
          <w:rStyle w:val="normaltextrun"/>
          <w:rFonts w:ascii="Arial" w:hAnsi="Arial" w:cs="Arial"/>
        </w:rPr>
        <w:t xml:space="preserve">There is a risk that where a provider delivers a broad range of services, the focus on the delivery of the National Careers Service contract may be less comprehensive </w:t>
      </w:r>
      <w:r w:rsidRPr="004623D3">
        <w:rPr>
          <w:rFonts w:ascii="Arial" w:hAnsi="Arial" w:cs="Arial"/>
        </w:rPr>
        <w:t>that that of an organisation solely delivering the National Careers Service. Therefore, the sampling and reporting guidelines for the Standard were changed during the piloting to ensure that the same focus was given to the National Careers Service contract, as if it were a standalone service.</w:t>
      </w:r>
    </w:p>
    <w:p w14:paraId="2078C26E" w14:textId="77777777" w:rsidR="00FF7583" w:rsidRPr="004623D3" w:rsidRDefault="00FF7583" w:rsidP="00FF7583">
      <w:pPr>
        <w:pStyle w:val="paragraph"/>
        <w:spacing w:before="0" w:beforeAutospacing="0" w:after="0" w:afterAutospacing="0"/>
        <w:jc w:val="both"/>
        <w:textAlignment w:val="baseline"/>
        <w:rPr>
          <w:rStyle w:val="normaltextrun"/>
        </w:rPr>
      </w:pPr>
    </w:p>
    <w:p w14:paraId="53C7C635" w14:textId="77777777" w:rsidR="00FF7583" w:rsidRPr="004623D3" w:rsidRDefault="00FF7583" w:rsidP="00FF7583">
      <w:pPr>
        <w:pStyle w:val="paragraph"/>
        <w:spacing w:before="0" w:beforeAutospacing="0" w:after="0" w:afterAutospacing="0"/>
        <w:jc w:val="both"/>
        <w:textAlignment w:val="baseline"/>
        <w:rPr>
          <w:rStyle w:val="normaltextrun"/>
          <w:rFonts w:ascii="Arial" w:hAnsi="Arial" w:cs="Arial"/>
          <w:shd w:val="clear" w:color="auto" w:fill="FFFF00"/>
        </w:rPr>
      </w:pPr>
      <w:r w:rsidRPr="004623D3">
        <w:rPr>
          <w:rStyle w:val="normaltextrun"/>
          <w:rFonts w:ascii="Arial" w:hAnsi="Arial" w:cs="Arial"/>
        </w:rPr>
        <w:t>This change was tested with the Education Development Trust (which delivers multiple services) whereby the National Careers Service provision was scoped for assessment against the Standard separately and this was added to the time needed to assess the rest of the organisation. This is intended to improve the quality assurance of the National Careers Service, in organisations which deliver a range of other services.</w:t>
      </w:r>
    </w:p>
    <w:p w14:paraId="49C44FD4" w14:textId="77777777" w:rsidR="005217B5" w:rsidRPr="003F7BE7" w:rsidRDefault="005217B5" w:rsidP="002217F7">
      <w:pPr>
        <w:rPr>
          <w:rFonts w:cs="Arial"/>
        </w:rPr>
      </w:pPr>
    </w:p>
    <w:p w14:paraId="6B660164" w14:textId="2414B36F" w:rsidR="009B598D" w:rsidRPr="003F7BE7" w:rsidRDefault="009B598D" w:rsidP="000B550F">
      <w:pPr>
        <w:pStyle w:val="Heading2"/>
      </w:pPr>
      <w:bookmarkStart w:id="48" w:name="_Toc116456721"/>
      <w:bookmarkStart w:id="49" w:name="_Toc117261925"/>
      <w:bookmarkStart w:id="50" w:name="_Hlk119664403"/>
      <w:r w:rsidRPr="003F7BE7">
        <w:t xml:space="preserve">New </w:t>
      </w:r>
      <w:r w:rsidR="00B53052">
        <w:t>g</w:t>
      </w:r>
      <w:r w:rsidRPr="003F7BE7">
        <w:t xml:space="preserve">uidance for assessing large multi-campus FE </w:t>
      </w:r>
      <w:proofErr w:type="gramStart"/>
      <w:r w:rsidRPr="003F7BE7">
        <w:t>provision</w:t>
      </w:r>
      <w:bookmarkEnd w:id="48"/>
      <w:bookmarkEnd w:id="49"/>
      <w:proofErr w:type="gramEnd"/>
    </w:p>
    <w:bookmarkEnd w:id="50"/>
    <w:p w14:paraId="6B5CA05A" w14:textId="77777777" w:rsidR="004857E0" w:rsidRDefault="004857E0" w:rsidP="002217F7">
      <w:pPr>
        <w:rPr>
          <w:rFonts w:cs="Arial"/>
        </w:rPr>
      </w:pPr>
    </w:p>
    <w:p w14:paraId="7C230D48" w14:textId="77777777" w:rsidR="00416D6B" w:rsidRPr="004623D3" w:rsidRDefault="00416D6B" w:rsidP="00416D6B">
      <w:pPr>
        <w:rPr>
          <w:rFonts w:cs="Arial"/>
          <w:sz w:val="24"/>
        </w:rPr>
      </w:pPr>
      <w:r w:rsidRPr="004623D3">
        <w:rPr>
          <w:rFonts w:cs="Arial"/>
          <w:sz w:val="24"/>
        </w:rPr>
        <w:t>There has been a trend towards college mergers over the last decade and there is risk that for such large and complex institutions the current assessment guidelines do not give appropriate guidance on how best to assess and cost the time needed to ensure that a sufficient range of provision is assessed, given the diversity of these multi-campus colleges. Therefore, the following new guidance was developed:</w:t>
      </w:r>
    </w:p>
    <w:p w14:paraId="63535C82" w14:textId="570DAFC2" w:rsidR="00FD0516" w:rsidRPr="004623D3" w:rsidRDefault="00416D6B" w:rsidP="00FD0516">
      <w:pPr>
        <w:pStyle w:val="Bullet"/>
        <w:numPr>
          <w:ilvl w:val="0"/>
          <w:numId w:val="116"/>
        </w:numPr>
        <w:rPr>
          <w:sz w:val="24"/>
          <w:szCs w:val="24"/>
        </w:rPr>
      </w:pPr>
      <w:r w:rsidRPr="004623D3">
        <w:rPr>
          <w:sz w:val="24"/>
          <w:szCs w:val="24"/>
        </w:rPr>
        <w:lastRenderedPageBreak/>
        <w:t xml:space="preserve">Where the site/s is managed autonomously e.g., has its own Student Services Manager, the site/s should be assessed and costed separately. </w:t>
      </w:r>
      <w:r w:rsidR="00FD0516" w:rsidRPr="004623D3">
        <w:rPr>
          <w:sz w:val="24"/>
          <w:szCs w:val="24"/>
        </w:rPr>
        <w:t>Customers may choose to have separate accreditations at each site.</w:t>
      </w:r>
    </w:p>
    <w:p w14:paraId="5BA090B4" w14:textId="01A6E0D5" w:rsidR="00E5142F" w:rsidRPr="004623D3" w:rsidRDefault="00E5142F" w:rsidP="00CA35D9">
      <w:pPr>
        <w:pStyle w:val="Bullet"/>
        <w:rPr>
          <w:sz w:val="24"/>
          <w:szCs w:val="24"/>
        </w:rPr>
      </w:pPr>
      <w:r w:rsidRPr="004623D3">
        <w:rPr>
          <w:sz w:val="24"/>
          <w:szCs w:val="24"/>
        </w:rPr>
        <w:t xml:space="preserve">Where there is significant difference in the type of delivery </w:t>
      </w:r>
      <w:r w:rsidR="5EF59D79" w:rsidRPr="004623D3">
        <w:rPr>
          <w:sz w:val="24"/>
          <w:szCs w:val="24"/>
        </w:rPr>
        <w:t>e.g.,</w:t>
      </w:r>
      <w:r w:rsidRPr="004623D3">
        <w:rPr>
          <w:sz w:val="24"/>
          <w:szCs w:val="24"/>
        </w:rPr>
        <w:t xml:space="preserve"> apprenticeship, student services and there are specialist staff at each, again there should be individual scoping of each site/service. </w:t>
      </w:r>
      <w:r w:rsidR="006E21B9" w:rsidRPr="004623D3">
        <w:rPr>
          <w:sz w:val="24"/>
          <w:szCs w:val="24"/>
        </w:rPr>
        <w:t>F</w:t>
      </w:r>
      <w:r w:rsidRPr="004623D3">
        <w:rPr>
          <w:sz w:val="24"/>
          <w:szCs w:val="24"/>
        </w:rPr>
        <w:t xml:space="preserve">or all remote assessments, it is </w:t>
      </w:r>
      <w:r w:rsidR="00501741" w:rsidRPr="004623D3">
        <w:rPr>
          <w:sz w:val="24"/>
          <w:szCs w:val="24"/>
        </w:rPr>
        <w:t>expected</w:t>
      </w:r>
      <w:r w:rsidRPr="004623D3">
        <w:rPr>
          <w:sz w:val="24"/>
          <w:szCs w:val="24"/>
        </w:rPr>
        <w:t xml:space="preserve"> that staff </w:t>
      </w:r>
      <w:r w:rsidR="00C33E3B" w:rsidRPr="004623D3">
        <w:rPr>
          <w:sz w:val="24"/>
          <w:szCs w:val="24"/>
        </w:rPr>
        <w:t xml:space="preserve">interviews </w:t>
      </w:r>
      <w:r w:rsidRPr="004623D3">
        <w:rPr>
          <w:sz w:val="24"/>
          <w:szCs w:val="24"/>
        </w:rPr>
        <w:t xml:space="preserve">will be </w:t>
      </w:r>
      <w:r w:rsidR="00C33E3B" w:rsidRPr="004623D3">
        <w:rPr>
          <w:sz w:val="24"/>
          <w:szCs w:val="24"/>
        </w:rPr>
        <w:t>sampled</w:t>
      </w:r>
      <w:r w:rsidRPr="004623D3">
        <w:rPr>
          <w:sz w:val="24"/>
          <w:szCs w:val="24"/>
        </w:rPr>
        <w:t xml:space="preserve"> from across geographical locations</w:t>
      </w:r>
      <w:r w:rsidR="006E21B9" w:rsidRPr="004623D3">
        <w:rPr>
          <w:sz w:val="24"/>
          <w:szCs w:val="24"/>
        </w:rPr>
        <w:t>.</w:t>
      </w:r>
    </w:p>
    <w:p w14:paraId="39DC3C42" w14:textId="5111347A" w:rsidR="00E5142F" w:rsidRPr="004623D3" w:rsidRDefault="00E5142F" w:rsidP="00CA35D9">
      <w:pPr>
        <w:pStyle w:val="Bullet"/>
        <w:rPr>
          <w:sz w:val="24"/>
          <w:szCs w:val="24"/>
        </w:rPr>
      </w:pPr>
      <w:r w:rsidRPr="004623D3">
        <w:rPr>
          <w:sz w:val="24"/>
          <w:szCs w:val="24"/>
        </w:rPr>
        <w:t>Where sites have a different delivery</w:t>
      </w:r>
      <w:r w:rsidR="00C33E3B" w:rsidRPr="004623D3">
        <w:rPr>
          <w:sz w:val="24"/>
          <w:szCs w:val="24"/>
        </w:rPr>
        <w:t xml:space="preserve"> (for example </w:t>
      </w:r>
      <w:r w:rsidRPr="004623D3">
        <w:rPr>
          <w:sz w:val="24"/>
          <w:szCs w:val="24"/>
        </w:rPr>
        <w:t>Adult College vers</w:t>
      </w:r>
      <w:r w:rsidR="00C33E3B" w:rsidRPr="004623D3">
        <w:rPr>
          <w:sz w:val="24"/>
          <w:szCs w:val="24"/>
        </w:rPr>
        <w:t>u</w:t>
      </w:r>
      <w:r w:rsidRPr="004623D3">
        <w:rPr>
          <w:sz w:val="24"/>
          <w:szCs w:val="24"/>
        </w:rPr>
        <w:t>s General FE</w:t>
      </w:r>
      <w:r w:rsidR="00C33E3B" w:rsidRPr="004623D3">
        <w:rPr>
          <w:sz w:val="24"/>
          <w:szCs w:val="24"/>
        </w:rPr>
        <w:t>)</w:t>
      </w:r>
      <w:r w:rsidRPr="004623D3">
        <w:rPr>
          <w:sz w:val="24"/>
          <w:szCs w:val="24"/>
        </w:rPr>
        <w:t xml:space="preserve"> each site should be ‘visited’ (either in person, or evidence gathered remotely from managers, </w:t>
      </w:r>
      <w:proofErr w:type="gramStart"/>
      <w:r w:rsidRPr="004623D3">
        <w:rPr>
          <w:sz w:val="24"/>
          <w:szCs w:val="24"/>
        </w:rPr>
        <w:t>staff</w:t>
      </w:r>
      <w:proofErr w:type="gramEnd"/>
      <w:r w:rsidRPr="004623D3">
        <w:rPr>
          <w:sz w:val="24"/>
          <w:szCs w:val="24"/>
        </w:rPr>
        <w:t xml:space="preserve"> and recipients) with appropriate adjustment to the time needed</w:t>
      </w:r>
      <w:r w:rsidR="006E21B9" w:rsidRPr="004623D3">
        <w:rPr>
          <w:sz w:val="24"/>
          <w:szCs w:val="24"/>
        </w:rPr>
        <w:t>.</w:t>
      </w:r>
    </w:p>
    <w:p w14:paraId="7258BD1A" w14:textId="04DC36E3" w:rsidR="00E23243" w:rsidRPr="004623D3" w:rsidRDefault="00E5142F" w:rsidP="00CA35D9">
      <w:pPr>
        <w:pStyle w:val="Bullet"/>
        <w:rPr>
          <w:sz w:val="24"/>
          <w:szCs w:val="24"/>
        </w:rPr>
      </w:pPr>
      <w:r w:rsidRPr="004623D3">
        <w:rPr>
          <w:sz w:val="24"/>
          <w:szCs w:val="24"/>
        </w:rPr>
        <w:t xml:space="preserve">Over two assessments </w:t>
      </w:r>
      <w:r w:rsidR="00C33E3B" w:rsidRPr="004623D3">
        <w:rPr>
          <w:sz w:val="24"/>
          <w:szCs w:val="24"/>
        </w:rPr>
        <w:t>(</w:t>
      </w:r>
      <w:r w:rsidRPr="004623D3">
        <w:rPr>
          <w:sz w:val="24"/>
          <w:szCs w:val="24"/>
        </w:rPr>
        <w:t xml:space="preserve">Initial </w:t>
      </w:r>
      <w:r w:rsidR="006E21B9" w:rsidRPr="004623D3">
        <w:rPr>
          <w:sz w:val="24"/>
          <w:szCs w:val="24"/>
        </w:rPr>
        <w:t xml:space="preserve">Assessment </w:t>
      </w:r>
      <w:r w:rsidRPr="004623D3">
        <w:rPr>
          <w:sz w:val="24"/>
          <w:szCs w:val="24"/>
        </w:rPr>
        <w:t>and first Review</w:t>
      </w:r>
      <w:r w:rsidR="00C33E3B" w:rsidRPr="004623D3">
        <w:rPr>
          <w:sz w:val="24"/>
          <w:szCs w:val="24"/>
        </w:rPr>
        <w:t>)</w:t>
      </w:r>
      <w:r w:rsidRPr="004623D3">
        <w:rPr>
          <w:sz w:val="24"/>
          <w:szCs w:val="24"/>
        </w:rPr>
        <w:t>, all sites should be covered (this does not include outreach sites).</w:t>
      </w:r>
    </w:p>
    <w:p w14:paraId="529E7D57" w14:textId="7A2180D7" w:rsidR="00C33E3B" w:rsidRPr="003F7BE7" w:rsidRDefault="008177BC" w:rsidP="000B550F">
      <w:pPr>
        <w:pStyle w:val="Heading2"/>
      </w:pPr>
      <w:bookmarkStart w:id="51" w:name="_Toc116456722"/>
      <w:bookmarkStart w:id="52" w:name="_Toc117261926"/>
      <w:bookmarkStart w:id="53" w:name="_Hlk119664686"/>
      <w:r w:rsidRPr="003F7BE7">
        <w:t>Embedding the benefits of digital assessments in the process.</w:t>
      </w:r>
      <w:bookmarkEnd w:id="51"/>
      <w:bookmarkEnd w:id="52"/>
    </w:p>
    <w:bookmarkEnd w:id="53"/>
    <w:p w14:paraId="633E62C8" w14:textId="2D3851AC" w:rsidR="00FD47C1" w:rsidRPr="004623D3" w:rsidRDefault="00897813" w:rsidP="002217F7">
      <w:pPr>
        <w:rPr>
          <w:rFonts w:cs="Arial"/>
          <w:sz w:val="24"/>
        </w:rPr>
      </w:pPr>
      <w:r w:rsidRPr="004623D3">
        <w:rPr>
          <w:rFonts w:cs="Arial"/>
          <w:sz w:val="24"/>
        </w:rPr>
        <w:t>T</w:t>
      </w:r>
      <w:r w:rsidR="00301754" w:rsidRPr="004623D3">
        <w:rPr>
          <w:rFonts w:cs="Arial"/>
          <w:sz w:val="24"/>
        </w:rPr>
        <w:t xml:space="preserve">he development of the </w:t>
      </w:r>
      <w:r w:rsidR="00FD47C1" w:rsidRPr="004623D3">
        <w:rPr>
          <w:rFonts w:cs="Arial"/>
          <w:sz w:val="24"/>
        </w:rPr>
        <w:t xml:space="preserve">revised </w:t>
      </w:r>
      <w:r w:rsidR="00301754" w:rsidRPr="004623D3">
        <w:rPr>
          <w:rFonts w:cs="Arial"/>
          <w:sz w:val="24"/>
        </w:rPr>
        <w:t xml:space="preserve">Standard took place during </w:t>
      </w:r>
      <w:r w:rsidR="00EE4DB5" w:rsidRPr="004623D3">
        <w:rPr>
          <w:rFonts w:cs="Arial"/>
          <w:sz w:val="24"/>
        </w:rPr>
        <w:t>COVID-19</w:t>
      </w:r>
      <w:r w:rsidR="00301754" w:rsidRPr="004623D3">
        <w:rPr>
          <w:rFonts w:cs="Arial"/>
          <w:sz w:val="24"/>
        </w:rPr>
        <w:t xml:space="preserve"> </w:t>
      </w:r>
      <w:r w:rsidR="001B2C82" w:rsidRPr="004623D3">
        <w:rPr>
          <w:rFonts w:cs="Arial"/>
          <w:sz w:val="24"/>
        </w:rPr>
        <w:t>so</w:t>
      </w:r>
      <w:r w:rsidR="00FA160E" w:rsidRPr="004623D3">
        <w:rPr>
          <w:rFonts w:cs="Arial"/>
          <w:sz w:val="24"/>
        </w:rPr>
        <w:t xml:space="preserve"> there</w:t>
      </w:r>
      <w:r w:rsidR="00301754" w:rsidRPr="004623D3">
        <w:rPr>
          <w:rFonts w:cs="Arial"/>
          <w:sz w:val="24"/>
        </w:rPr>
        <w:t xml:space="preserve"> has been </w:t>
      </w:r>
      <w:r w:rsidR="002D5517" w:rsidRPr="004623D3">
        <w:rPr>
          <w:rFonts w:cs="Arial"/>
          <w:sz w:val="24"/>
        </w:rPr>
        <w:t xml:space="preserve">much </w:t>
      </w:r>
      <w:r w:rsidR="00301754" w:rsidRPr="004623D3">
        <w:rPr>
          <w:rFonts w:cs="Arial"/>
          <w:sz w:val="24"/>
        </w:rPr>
        <w:t>learning</w:t>
      </w:r>
      <w:r w:rsidR="00FD47C1" w:rsidRPr="004623D3">
        <w:rPr>
          <w:rFonts w:cs="Arial"/>
          <w:sz w:val="24"/>
        </w:rPr>
        <w:t xml:space="preserve"> </w:t>
      </w:r>
      <w:r w:rsidR="001B2C82" w:rsidRPr="004623D3">
        <w:rPr>
          <w:rFonts w:cs="Arial"/>
          <w:sz w:val="24"/>
        </w:rPr>
        <w:t xml:space="preserve">to </w:t>
      </w:r>
      <w:proofErr w:type="gramStart"/>
      <w:r w:rsidR="001B2C82" w:rsidRPr="004623D3">
        <w:rPr>
          <w:rFonts w:cs="Arial"/>
          <w:sz w:val="24"/>
        </w:rPr>
        <w:t>take into account</w:t>
      </w:r>
      <w:proofErr w:type="gramEnd"/>
      <w:r w:rsidR="001B2C82" w:rsidRPr="004623D3">
        <w:rPr>
          <w:rFonts w:cs="Arial"/>
          <w:sz w:val="24"/>
        </w:rPr>
        <w:t xml:space="preserve"> </w:t>
      </w:r>
      <w:r w:rsidR="00FD47C1" w:rsidRPr="004623D3">
        <w:rPr>
          <w:rFonts w:cs="Arial"/>
          <w:sz w:val="24"/>
        </w:rPr>
        <w:t xml:space="preserve">from </w:t>
      </w:r>
      <w:r w:rsidR="002C671F" w:rsidRPr="004623D3">
        <w:rPr>
          <w:rFonts w:cs="Arial"/>
          <w:sz w:val="24"/>
        </w:rPr>
        <w:t>conducting</w:t>
      </w:r>
      <w:r w:rsidR="00FD47C1" w:rsidRPr="004623D3">
        <w:rPr>
          <w:rFonts w:cs="Arial"/>
          <w:sz w:val="24"/>
        </w:rPr>
        <w:t xml:space="preserve"> </w:t>
      </w:r>
      <w:r w:rsidR="002D5517" w:rsidRPr="004623D3">
        <w:rPr>
          <w:rFonts w:cs="Arial"/>
          <w:sz w:val="24"/>
        </w:rPr>
        <w:t>remote assessments</w:t>
      </w:r>
      <w:r w:rsidR="00FD47C1" w:rsidRPr="004623D3">
        <w:rPr>
          <w:rFonts w:cs="Arial"/>
          <w:sz w:val="24"/>
        </w:rPr>
        <w:t xml:space="preserve"> using </w:t>
      </w:r>
      <w:r w:rsidR="002D5517" w:rsidRPr="004623D3">
        <w:rPr>
          <w:rFonts w:cs="Arial"/>
          <w:sz w:val="24"/>
        </w:rPr>
        <w:t xml:space="preserve">online </w:t>
      </w:r>
      <w:r w:rsidR="00FD47C1" w:rsidRPr="004623D3">
        <w:rPr>
          <w:rFonts w:cs="Arial"/>
          <w:sz w:val="24"/>
        </w:rPr>
        <w:t>technology</w:t>
      </w:r>
      <w:r w:rsidR="00325CBE" w:rsidRPr="004623D3">
        <w:rPr>
          <w:rFonts w:cs="Arial"/>
          <w:sz w:val="24"/>
        </w:rPr>
        <w:t>.</w:t>
      </w:r>
    </w:p>
    <w:p w14:paraId="7E9BDDCE" w14:textId="04B28415" w:rsidR="00BE7B5A" w:rsidRPr="004623D3" w:rsidRDefault="00FD47C1" w:rsidP="00CA35D9">
      <w:pPr>
        <w:pStyle w:val="Bullet"/>
        <w:rPr>
          <w:sz w:val="24"/>
          <w:szCs w:val="24"/>
        </w:rPr>
      </w:pPr>
      <w:r w:rsidRPr="004623D3">
        <w:rPr>
          <w:sz w:val="24"/>
          <w:szCs w:val="24"/>
        </w:rPr>
        <w:t xml:space="preserve">The use of </w:t>
      </w:r>
      <w:r w:rsidR="001D0BB9" w:rsidRPr="004623D3">
        <w:rPr>
          <w:sz w:val="24"/>
          <w:szCs w:val="24"/>
        </w:rPr>
        <w:t>digital communication and sharing</w:t>
      </w:r>
      <w:r w:rsidRPr="004623D3">
        <w:rPr>
          <w:sz w:val="24"/>
          <w:szCs w:val="24"/>
        </w:rPr>
        <w:t xml:space="preserve"> platforms is widespread and there is increased confidence</w:t>
      </w:r>
      <w:r w:rsidR="002C671F" w:rsidRPr="004623D3">
        <w:rPr>
          <w:sz w:val="24"/>
          <w:szCs w:val="24"/>
        </w:rPr>
        <w:t xml:space="preserve"> and uptake</w:t>
      </w:r>
      <w:r w:rsidRPr="004623D3">
        <w:rPr>
          <w:sz w:val="24"/>
          <w:szCs w:val="24"/>
        </w:rPr>
        <w:t xml:space="preserve"> in their use by organisations. </w:t>
      </w:r>
      <w:r w:rsidR="001D4F9C" w:rsidRPr="004623D3">
        <w:rPr>
          <w:sz w:val="24"/>
          <w:szCs w:val="24"/>
        </w:rPr>
        <w:t>A</w:t>
      </w:r>
      <w:r w:rsidRPr="004623D3">
        <w:rPr>
          <w:sz w:val="24"/>
          <w:szCs w:val="24"/>
        </w:rPr>
        <w:t xml:space="preserve">ssessors positively report effective one-to-one and group discussions, and the ability to share documents using </w:t>
      </w:r>
      <w:r w:rsidR="000E7C1B" w:rsidRPr="004623D3">
        <w:rPr>
          <w:sz w:val="24"/>
          <w:szCs w:val="24"/>
        </w:rPr>
        <w:t>such</w:t>
      </w:r>
      <w:r w:rsidRPr="004623D3">
        <w:rPr>
          <w:sz w:val="24"/>
          <w:szCs w:val="24"/>
        </w:rPr>
        <w:t xml:space="preserve"> platforms.</w:t>
      </w:r>
    </w:p>
    <w:p w14:paraId="3C991130" w14:textId="74D5221F" w:rsidR="00BE7B5A" w:rsidRPr="004623D3" w:rsidRDefault="00FD47C1" w:rsidP="00CA35D9">
      <w:pPr>
        <w:pStyle w:val="Bullet"/>
        <w:rPr>
          <w:sz w:val="24"/>
          <w:szCs w:val="24"/>
        </w:rPr>
      </w:pPr>
      <w:r w:rsidRPr="004623D3">
        <w:rPr>
          <w:sz w:val="24"/>
          <w:szCs w:val="24"/>
        </w:rPr>
        <w:t>The planning of assessments is enabling the organisation to develop a schedule using online calendars to book remote appointments and this is supporting robust attendance and participation</w:t>
      </w:r>
      <w:r w:rsidR="003E23BD" w:rsidRPr="004623D3">
        <w:rPr>
          <w:sz w:val="24"/>
          <w:szCs w:val="24"/>
        </w:rPr>
        <w:t xml:space="preserve">, </w:t>
      </w:r>
      <w:r w:rsidR="007971DA" w:rsidRPr="004623D3">
        <w:rPr>
          <w:sz w:val="24"/>
          <w:szCs w:val="24"/>
        </w:rPr>
        <w:t>combined with flexibility</w:t>
      </w:r>
      <w:r w:rsidRPr="004623D3">
        <w:rPr>
          <w:sz w:val="24"/>
          <w:szCs w:val="24"/>
        </w:rPr>
        <w:t>.</w:t>
      </w:r>
    </w:p>
    <w:p w14:paraId="573520E6" w14:textId="18AFC18F" w:rsidR="00BE7B5A" w:rsidRPr="004623D3" w:rsidRDefault="00FD47C1" w:rsidP="00CA35D9">
      <w:pPr>
        <w:pStyle w:val="Bullet"/>
        <w:rPr>
          <w:sz w:val="24"/>
          <w:szCs w:val="24"/>
        </w:rPr>
      </w:pPr>
      <w:r w:rsidRPr="004623D3">
        <w:rPr>
          <w:sz w:val="24"/>
          <w:szCs w:val="24"/>
        </w:rPr>
        <w:t>There are new opportunities to</w:t>
      </w:r>
      <w:r w:rsidR="00D76654" w:rsidRPr="004623D3">
        <w:rPr>
          <w:sz w:val="24"/>
          <w:szCs w:val="24"/>
        </w:rPr>
        <w:t xml:space="preserve"> use technology to</w:t>
      </w:r>
      <w:r w:rsidRPr="004623D3">
        <w:rPr>
          <w:sz w:val="24"/>
          <w:szCs w:val="24"/>
        </w:rPr>
        <w:t xml:space="preserve"> bring small groups of people together from a range of locations that previously would not have been possible or would have involved travel and time.</w:t>
      </w:r>
    </w:p>
    <w:p w14:paraId="2C3BF5D1" w14:textId="449A24AB" w:rsidR="00BE7B5A" w:rsidRPr="004623D3" w:rsidRDefault="00B35E8E" w:rsidP="00CA35D9">
      <w:pPr>
        <w:pStyle w:val="Bullet"/>
        <w:rPr>
          <w:sz w:val="24"/>
          <w:szCs w:val="24"/>
        </w:rPr>
      </w:pPr>
      <w:r w:rsidRPr="004623D3">
        <w:rPr>
          <w:sz w:val="24"/>
          <w:szCs w:val="24"/>
        </w:rPr>
        <w:t xml:space="preserve">Screen sharing </w:t>
      </w:r>
      <w:r w:rsidR="001B6298" w:rsidRPr="004623D3">
        <w:rPr>
          <w:sz w:val="24"/>
          <w:szCs w:val="24"/>
        </w:rPr>
        <w:t>within</w:t>
      </w:r>
      <w:r w:rsidR="00A25C3D" w:rsidRPr="004623D3">
        <w:rPr>
          <w:sz w:val="24"/>
          <w:szCs w:val="24"/>
        </w:rPr>
        <w:t xml:space="preserve"> video </w:t>
      </w:r>
      <w:r w:rsidR="00AB6CA2" w:rsidRPr="004623D3">
        <w:rPr>
          <w:sz w:val="24"/>
          <w:szCs w:val="24"/>
        </w:rPr>
        <w:t>call</w:t>
      </w:r>
      <w:r w:rsidR="001B6298" w:rsidRPr="004623D3">
        <w:rPr>
          <w:sz w:val="24"/>
          <w:szCs w:val="24"/>
        </w:rPr>
        <w:t xml:space="preserve">s </w:t>
      </w:r>
      <w:r w:rsidR="00AB6CA2" w:rsidRPr="004623D3">
        <w:rPr>
          <w:sz w:val="24"/>
          <w:szCs w:val="24"/>
        </w:rPr>
        <w:t>is common</w:t>
      </w:r>
      <w:r w:rsidR="0030119A" w:rsidRPr="004623D3">
        <w:rPr>
          <w:sz w:val="24"/>
          <w:szCs w:val="24"/>
        </w:rPr>
        <w:t>place</w:t>
      </w:r>
      <w:r w:rsidR="00AB6CA2" w:rsidRPr="004623D3">
        <w:rPr>
          <w:sz w:val="24"/>
          <w:szCs w:val="24"/>
        </w:rPr>
        <w:t xml:space="preserve"> </w:t>
      </w:r>
      <w:r w:rsidR="00131953" w:rsidRPr="004623D3">
        <w:rPr>
          <w:sz w:val="24"/>
          <w:szCs w:val="24"/>
        </w:rPr>
        <w:t xml:space="preserve">along with </w:t>
      </w:r>
      <w:r w:rsidR="007C5A69" w:rsidRPr="004623D3">
        <w:rPr>
          <w:sz w:val="24"/>
          <w:szCs w:val="24"/>
        </w:rPr>
        <w:t>online classrooms and</w:t>
      </w:r>
      <w:r w:rsidR="00FB519E" w:rsidRPr="004623D3">
        <w:rPr>
          <w:sz w:val="24"/>
          <w:szCs w:val="24"/>
        </w:rPr>
        <w:t xml:space="preserve"> </w:t>
      </w:r>
      <w:r w:rsidR="007C5A69" w:rsidRPr="004623D3">
        <w:rPr>
          <w:sz w:val="24"/>
          <w:szCs w:val="24"/>
        </w:rPr>
        <w:t>secure work drives</w:t>
      </w:r>
      <w:r w:rsidR="00FB519E" w:rsidRPr="004623D3">
        <w:rPr>
          <w:sz w:val="24"/>
          <w:szCs w:val="24"/>
        </w:rPr>
        <w:t xml:space="preserve">. </w:t>
      </w:r>
      <w:r w:rsidR="00A01B41" w:rsidRPr="004623D3">
        <w:rPr>
          <w:sz w:val="24"/>
          <w:szCs w:val="24"/>
        </w:rPr>
        <w:t xml:space="preserve">This presents the assessor with new </w:t>
      </w:r>
      <w:r w:rsidR="00512C30" w:rsidRPr="004623D3">
        <w:rPr>
          <w:sz w:val="24"/>
          <w:szCs w:val="24"/>
        </w:rPr>
        <w:t>opportunities for evidence gathering which ha</w:t>
      </w:r>
      <w:r w:rsidR="001D72F8" w:rsidRPr="004623D3">
        <w:rPr>
          <w:sz w:val="24"/>
          <w:szCs w:val="24"/>
        </w:rPr>
        <w:t>ve been recognised within the assessment process</w:t>
      </w:r>
      <w:r w:rsidR="00F85087" w:rsidRPr="004623D3">
        <w:rPr>
          <w:sz w:val="24"/>
          <w:szCs w:val="24"/>
        </w:rPr>
        <w:t>.</w:t>
      </w:r>
    </w:p>
    <w:p w14:paraId="21C95F23" w14:textId="31D53881" w:rsidR="002C671F" w:rsidRPr="004623D3" w:rsidRDefault="002C671F" w:rsidP="00CA35D9">
      <w:pPr>
        <w:pStyle w:val="Bullet"/>
        <w:rPr>
          <w:sz w:val="24"/>
          <w:szCs w:val="24"/>
        </w:rPr>
      </w:pPr>
      <w:r w:rsidRPr="004623D3">
        <w:rPr>
          <w:sz w:val="24"/>
          <w:szCs w:val="24"/>
        </w:rPr>
        <w:t>Practitioners and quality staff report that remote assessment is as robust in gathering appropriate evidence as on-site assessment.</w:t>
      </w:r>
    </w:p>
    <w:p w14:paraId="7EC153D7" w14:textId="77777777" w:rsidR="00623514" w:rsidRPr="004623D3" w:rsidRDefault="00623514" w:rsidP="002217F7">
      <w:pPr>
        <w:rPr>
          <w:rFonts w:cs="Arial"/>
          <w:sz w:val="24"/>
        </w:rPr>
      </w:pPr>
    </w:p>
    <w:p w14:paraId="659EB6C9" w14:textId="4D690C0F" w:rsidR="0012230A" w:rsidRPr="004623D3" w:rsidRDefault="00364B11" w:rsidP="002217F7">
      <w:pPr>
        <w:rPr>
          <w:rFonts w:cs="Arial"/>
          <w:sz w:val="24"/>
        </w:rPr>
      </w:pPr>
      <w:r w:rsidRPr="004623D3">
        <w:rPr>
          <w:rFonts w:cs="Arial"/>
          <w:sz w:val="24"/>
        </w:rPr>
        <w:t>As a result of this learning</w:t>
      </w:r>
      <w:r w:rsidR="002D5517" w:rsidRPr="004623D3">
        <w:rPr>
          <w:rFonts w:cs="Arial"/>
          <w:sz w:val="24"/>
        </w:rPr>
        <w:t>,</w:t>
      </w:r>
      <w:r w:rsidRPr="004623D3">
        <w:rPr>
          <w:rFonts w:cs="Arial"/>
          <w:sz w:val="24"/>
        </w:rPr>
        <w:t xml:space="preserve"> </w:t>
      </w:r>
      <w:r w:rsidR="002C671F" w:rsidRPr="004623D3">
        <w:rPr>
          <w:rFonts w:cs="Arial"/>
          <w:sz w:val="24"/>
        </w:rPr>
        <w:t>we will continue the use of remote assessments by default. For initial assessments at leas</w:t>
      </w:r>
      <w:r w:rsidR="002C7942" w:rsidRPr="004623D3">
        <w:rPr>
          <w:rFonts w:cs="Arial"/>
          <w:sz w:val="24"/>
        </w:rPr>
        <w:t>t</w:t>
      </w:r>
      <w:r w:rsidR="002C671F" w:rsidRPr="004623D3">
        <w:rPr>
          <w:rFonts w:cs="Arial"/>
          <w:sz w:val="24"/>
        </w:rPr>
        <w:t xml:space="preserve"> an element of onsite assessment will be required. Customers will be able to choose onsite in-person assessment at their discretion, </w:t>
      </w:r>
      <w:r w:rsidR="002D5517" w:rsidRPr="004623D3">
        <w:rPr>
          <w:rFonts w:cs="Arial"/>
          <w:sz w:val="24"/>
        </w:rPr>
        <w:t xml:space="preserve">for example </w:t>
      </w:r>
      <w:r w:rsidR="00095B30" w:rsidRPr="004623D3">
        <w:rPr>
          <w:rFonts w:cs="Arial"/>
          <w:sz w:val="24"/>
        </w:rPr>
        <w:t>where</w:t>
      </w:r>
      <w:r w:rsidR="00DF2EB1" w:rsidRPr="004623D3">
        <w:rPr>
          <w:rFonts w:cs="Arial"/>
          <w:sz w:val="24"/>
        </w:rPr>
        <w:t xml:space="preserve"> vulnerable</w:t>
      </w:r>
      <w:r w:rsidR="002C671F" w:rsidRPr="004623D3">
        <w:rPr>
          <w:rFonts w:cs="Arial"/>
          <w:sz w:val="24"/>
        </w:rPr>
        <w:t xml:space="preserve"> recipients</w:t>
      </w:r>
      <w:r w:rsidR="00DF2EB1" w:rsidRPr="004623D3">
        <w:rPr>
          <w:rFonts w:cs="Arial"/>
          <w:sz w:val="24"/>
        </w:rPr>
        <w:t xml:space="preserve"> </w:t>
      </w:r>
      <w:r w:rsidR="00B4448F" w:rsidRPr="004623D3">
        <w:rPr>
          <w:rFonts w:cs="Arial"/>
          <w:sz w:val="24"/>
        </w:rPr>
        <w:t>are involved</w:t>
      </w:r>
      <w:r w:rsidR="002C671F" w:rsidRPr="004623D3">
        <w:rPr>
          <w:rFonts w:cs="Arial"/>
          <w:sz w:val="24"/>
        </w:rPr>
        <w:t xml:space="preserve"> </w:t>
      </w:r>
      <w:r w:rsidR="002D5517" w:rsidRPr="004623D3">
        <w:rPr>
          <w:rFonts w:cs="Arial"/>
          <w:sz w:val="24"/>
        </w:rPr>
        <w:t>or simply to better reflect the IAG delivery model</w:t>
      </w:r>
      <w:r w:rsidR="002F7037" w:rsidRPr="004623D3">
        <w:rPr>
          <w:rFonts w:cs="Arial"/>
          <w:sz w:val="24"/>
        </w:rPr>
        <w:t>.</w:t>
      </w:r>
      <w:r w:rsidR="002D5517" w:rsidRPr="004623D3">
        <w:rPr>
          <w:rFonts w:cs="Arial"/>
          <w:sz w:val="24"/>
        </w:rPr>
        <w:t xml:space="preserve"> </w:t>
      </w:r>
      <w:r w:rsidR="002C671F" w:rsidRPr="004623D3">
        <w:rPr>
          <w:rFonts w:cs="Arial"/>
          <w:sz w:val="24"/>
        </w:rPr>
        <w:t xml:space="preserve">Assessors will be able to negotiate with customers whether assessments take place remotely or onsite. </w:t>
      </w:r>
      <w:r w:rsidR="002F7037" w:rsidRPr="004623D3">
        <w:rPr>
          <w:rFonts w:cs="Arial"/>
          <w:sz w:val="24"/>
        </w:rPr>
        <w:t>Also,</w:t>
      </w:r>
      <w:r w:rsidR="00B4448F" w:rsidRPr="004623D3">
        <w:rPr>
          <w:rFonts w:cs="Arial"/>
          <w:sz w:val="24"/>
        </w:rPr>
        <w:t xml:space="preserve"> </w:t>
      </w:r>
      <w:r w:rsidR="002C671F" w:rsidRPr="004623D3">
        <w:rPr>
          <w:rFonts w:cs="Arial"/>
          <w:sz w:val="24"/>
        </w:rPr>
        <w:t xml:space="preserve">onsite visits will continue </w:t>
      </w:r>
      <w:r w:rsidR="00B4448F" w:rsidRPr="004623D3">
        <w:rPr>
          <w:rFonts w:cs="Arial"/>
          <w:sz w:val="24"/>
        </w:rPr>
        <w:t xml:space="preserve">where </w:t>
      </w:r>
      <w:r w:rsidR="00C97599" w:rsidRPr="004623D3">
        <w:rPr>
          <w:rFonts w:cs="Arial"/>
          <w:sz w:val="24"/>
        </w:rPr>
        <w:t>significant</w:t>
      </w:r>
      <w:r w:rsidR="00A102B8" w:rsidRPr="004623D3">
        <w:rPr>
          <w:rFonts w:cs="Arial"/>
          <w:sz w:val="24"/>
        </w:rPr>
        <w:t xml:space="preserve"> change </w:t>
      </w:r>
      <w:r w:rsidR="002F7037" w:rsidRPr="004623D3">
        <w:rPr>
          <w:rFonts w:cs="Arial"/>
          <w:sz w:val="24"/>
        </w:rPr>
        <w:t xml:space="preserve">has </w:t>
      </w:r>
      <w:r w:rsidR="0012230A" w:rsidRPr="004623D3">
        <w:rPr>
          <w:rFonts w:cs="Arial"/>
          <w:sz w:val="24"/>
        </w:rPr>
        <w:t>taken place</w:t>
      </w:r>
      <w:r w:rsidR="002F7037" w:rsidRPr="004623D3">
        <w:rPr>
          <w:rFonts w:cs="Arial"/>
          <w:sz w:val="24"/>
        </w:rPr>
        <w:t xml:space="preserve"> and a site visit will </w:t>
      </w:r>
      <w:r w:rsidR="000C59DA" w:rsidRPr="004623D3">
        <w:rPr>
          <w:rFonts w:cs="Arial"/>
          <w:sz w:val="24"/>
        </w:rPr>
        <w:t>enable</w:t>
      </w:r>
      <w:r w:rsidR="0012230A" w:rsidRPr="004623D3">
        <w:rPr>
          <w:rFonts w:cs="Arial"/>
          <w:sz w:val="24"/>
        </w:rPr>
        <w:t xml:space="preserve"> the </w:t>
      </w:r>
      <w:r w:rsidR="002C671F" w:rsidRPr="004623D3">
        <w:rPr>
          <w:rFonts w:cs="Arial"/>
          <w:sz w:val="24"/>
        </w:rPr>
        <w:t>A</w:t>
      </w:r>
      <w:r w:rsidR="0012230A" w:rsidRPr="004623D3">
        <w:rPr>
          <w:rFonts w:cs="Arial"/>
          <w:sz w:val="24"/>
        </w:rPr>
        <w:t>ssessor to become acquainted with the organisation</w:t>
      </w:r>
      <w:r w:rsidR="000C59DA" w:rsidRPr="004623D3">
        <w:rPr>
          <w:rFonts w:cs="Arial"/>
          <w:sz w:val="24"/>
        </w:rPr>
        <w:t>.</w:t>
      </w:r>
    </w:p>
    <w:p w14:paraId="4DC7EEBB" w14:textId="77777777" w:rsidR="00C33E3B" w:rsidRPr="003F7BE7" w:rsidRDefault="00C33E3B" w:rsidP="006C484E">
      <w:pPr>
        <w:rPr>
          <w:rFonts w:asciiTheme="majorHAnsi" w:eastAsiaTheme="majorEastAsia" w:hAnsiTheme="majorHAnsi" w:cstheme="majorBidi"/>
          <w:szCs w:val="22"/>
        </w:rPr>
      </w:pPr>
      <w:r w:rsidRPr="003F7BE7">
        <w:rPr>
          <w:szCs w:val="22"/>
        </w:rPr>
        <w:br w:type="page"/>
      </w:r>
    </w:p>
    <w:p w14:paraId="640EAB76" w14:textId="7ED45804" w:rsidR="00BB77C5" w:rsidRPr="003F7BE7" w:rsidRDefault="00BB77C5" w:rsidP="000B550F">
      <w:pPr>
        <w:pStyle w:val="Heading1"/>
      </w:pPr>
      <w:bookmarkStart w:id="54" w:name="_Guidance_Materials"/>
      <w:bookmarkStart w:id="55" w:name="_Toc129688508"/>
      <w:bookmarkEnd w:id="54"/>
      <w:r w:rsidRPr="003F7BE7">
        <w:lastRenderedPageBreak/>
        <w:t>Guidance Materials</w:t>
      </w:r>
      <w:bookmarkEnd w:id="55"/>
    </w:p>
    <w:p w14:paraId="21D4BF29" w14:textId="77777777" w:rsidR="00BB77C5" w:rsidRPr="003F7BE7" w:rsidRDefault="00BB77C5" w:rsidP="00BB77C5">
      <w:pPr>
        <w:rPr>
          <w:rFonts w:cs="Arial"/>
        </w:rPr>
      </w:pPr>
    </w:p>
    <w:p w14:paraId="79B653F2" w14:textId="77777777" w:rsidR="00BB77C5" w:rsidRPr="001A0578" w:rsidRDefault="00BB77C5" w:rsidP="00BB77C5">
      <w:pPr>
        <w:rPr>
          <w:rFonts w:cs="Arial"/>
          <w:sz w:val="24"/>
        </w:rPr>
      </w:pPr>
      <w:r w:rsidRPr="001A0578">
        <w:rPr>
          <w:rFonts w:cs="Arial"/>
          <w:sz w:val="24"/>
        </w:rPr>
        <w:t>The following Guidance Materials have been developed to support the revised version of the Standard.</w:t>
      </w:r>
    </w:p>
    <w:p w14:paraId="62BF52C3" w14:textId="77777777" w:rsidR="00BB77C5" w:rsidRPr="001A0578" w:rsidRDefault="00BB77C5" w:rsidP="00BB77C5">
      <w:pPr>
        <w:rPr>
          <w:rFonts w:cs="Arial"/>
          <w:sz w:val="24"/>
        </w:rPr>
      </w:pPr>
    </w:p>
    <w:p w14:paraId="60D6F9C0" w14:textId="0DFAA441" w:rsidR="00BB77C5" w:rsidRPr="001A0578" w:rsidRDefault="00BB77C5" w:rsidP="00BB77C5">
      <w:pPr>
        <w:rPr>
          <w:rFonts w:cs="Arial"/>
          <w:sz w:val="24"/>
        </w:rPr>
      </w:pPr>
      <w:r w:rsidRPr="001A0578">
        <w:rPr>
          <w:rFonts w:cs="Arial"/>
          <w:b/>
          <w:bCs/>
          <w:sz w:val="24"/>
        </w:rPr>
        <w:t>The Gatsby Touchpoints Document</w:t>
      </w:r>
      <w:r w:rsidRPr="001A0578">
        <w:rPr>
          <w:rFonts w:cs="Arial"/>
          <w:sz w:val="24"/>
        </w:rPr>
        <w:t xml:space="preserve"> – Partnering with the Gatsby Foundation, CDI and Careers and Enterprise Company to produce a guide which shows the Standard supports the Gatsby Benchmarks</w:t>
      </w:r>
      <w:r w:rsidRPr="001A0578">
        <w:rPr>
          <w:rFonts w:cs="Arial"/>
          <w:sz w:val="18"/>
          <w:szCs w:val="18"/>
        </w:rPr>
        <w:t xml:space="preserve">. </w:t>
      </w:r>
    </w:p>
    <w:p w14:paraId="32381EB5" w14:textId="77777777" w:rsidR="00BB77C5" w:rsidRPr="001A0578" w:rsidRDefault="00BB77C5" w:rsidP="00BB77C5">
      <w:pPr>
        <w:rPr>
          <w:rFonts w:cs="Arial"/>
          <w:sz w:val="24"/>
        </w:rPr>
      </w:pPr>
    </w:p>
    <w:p w14:paraId="2DFEC512" w14:textId="637BFCFF" w:rsidR="00BB77C5" w:rsidRPr="001A0578" w:rsidRDefault="00BB77C5" w:rsidP="00BB77C5">
      <w:pPr>
        <w:rPr>
          <w:rFonts w:cs="Arial"/>
          <w:sz w:val="24"/>
        </w:rPr>
      </w:pPr>
      <w:r w:rsidRPr="001A0578">
        <w:rPr>
          <w:rFonts w:cs="Arial"/>
          <w:b/>
          <w:bCs/>
          <w:sz w:val="24"/>
        </w:rPr>
        <w:t xml:space="preserve">The Ofsted Touchpoints – </w:t>
      </w:r>
      <w:r w:rsidRPr="001A0578">
        <w:rPr>
          <w:rFonts w:cs="Arial"/>
          <w:sz w:val="24"/>
        </w:rPr>
        <w:t>We commissioned a</w:t>
      </w:r>
      <w:r w:rsidRPr="001A0578">
        <w:rPr>
          <w:rFonts w:cs="Arial"/>
          <w:b/>
          <w:bCs/>
          <w:sz w:val="24"/>
        </w:rPr>
        <w:t xml:space="preserve"> </w:t>
      </w:r>
      <w:r w:rsidRPr="001A0578">
        <w:rPr>
          <w:rFonts w:cs="Arial"/>
          <w:sz w:val="24"/>
        </w:rPr>
        <w:t>consultant</w:t>
      </w:r>
      <w:r w:rsidRPr="001A0578">
        <w:rPr>
          <w:rFonts w:cs="Arial"/>
          <w:b/>
          <w:bCs/>
          <w:sz w:val="24"/>
        </w:rPr>
        <w:t xml:space="preserve"> </w:t>
      </w:r>
      <w:r w:rsidRPr="001A0578">
        <w:rPr>
          <w:rFonts w:cs="Arial"/>
          <w:sz w:val="24"/>
        </w:rPr>
        <w:t xml:space="preserve">former </w:t>
      </w:r>
      <w:r w:rsidR="001B2C82" w:rsidRPr="001A0578">
        <w:rPr>
          <w:rFonts w:cs="Arial"/>
          <w:sz w:val="24"/>
        </w:rPr>
        <w:t>I</w:t>
      </w:r>
      <w:r w:rsidRPr="001A0578">
        <w:rPr>
          <w:rFonts w:cs="Arial"/>
          <w:sz w:val="24"/>
        </w:rPr>
        <w:t xml:space="preserve">nspector to work with Ofsted to produce a guide which shows the touchpoints the Standard has with the inspection framework. </w:t>
      </w:r>
    </w:p>
    <w:p w14:paraId="21DB09AD" w14:textId="77777777" w:rsidR="00BB77C5" w:rsidRPr="00350757" w:rsidRDefault="00BB77C5" w:rsidP="00BB77C5">
      <w:pPr>
        <w:rPr>
          <w:rFonts w:cs="Arial"/>
        </w:rPr>
      </w:pPr>
    </w:p>
    <w:p w14:paraId="6B0EE5EC" w14:textId="77777777" w:rsidR="00BB77C5" w:rsidRPr="00502083" w:rsidRDefault="00BB77C5" w:rsidP="000B550F">
      <w:pPr>
        <w:pStyle w:val="Heading2"/>
      </w:pPr>
      <w:bookmarkStart w:id="56" w:name="_Toc117261928"/>
      <w:r w:rsidRPr="00502083">
        <w:t>Sector Guidance</w:t>
      </w:r>
      <w:bookmarkEnd w:id="56"/>
    </w:p>
    <w:p w14:paraId="359771CA" w14:textId="77777777" w:rsidR="00BB77C5" w:rsidRPr="00A1418E" w:rsidRDefault="00BB77C5" w:rsidP="00BB77C5">
      <w:pPr>
        <w:rPr>
          <w:rFonts w:cs="Arial"/>
          <w:sz w:val="24"/>
        </w:rPr>
      </w:pPr>
      <w:r w:rsidRPr="00A1418E">
        <w:rPr>
          <w:rFonts w:cs="Arial"/>
          <w:sz w:val="24"/>
        </w:rPr>
        <w:t>We are currently working on the development of the following Sector Guides:</w:t>
      </w:r>
    </w:p>
    <w:p w14:paraId="0DF53152" w14:textId="77777777" w:rsidR="00BB77C5" w:rsidRPr="00A1418E" w:rsidRDefault="00BB77C5" w:rsidP="00BB77C5">
      <w:pPr>
        <w:rPr>
          <w:rFonts w:cs="Arial"/>
          <w:sz w:val="24"/>
        </w:rPr>
      </w:pPr>
    </w:p>
    <w:p w14:paraId="1271CF96" w14:textId="77777777" w:rsidR="00BB77C5" w:rsidRPr="00A1418E" w:rsidRDefault="00BB77C5" w:rsidP="00BB77C5">
      <w:pPr>
        <w:rPr>
          <w:rFonts w:cs="Arial"/>
          <w:sz w:val="24"/>
        </w:rPr>
      </w:pPr>
      <w:r w:rsidRPr="00A1418E">
        <w:rPr>
          <w:rFonts w:cs="Arial"/>
          <w:b/>
          <w:bCs/>
          <w:sz w:val="24"/>
        </w:rPr>
        <w:t>Further Education Guide</w:t>
      </w:r>
      <w:r w:rsidRPr="00A1418E">
        <w:rPr>
          <w:rFonts w:cs="Arial"/>
          <w:sz w:val="24"/>
        </w:rPr>
        <w:t xml:space="preserve"> - Working with</w:t>
      </w:r>
      <w:r w:rsidRPr="00A1418E">
        <w:rPr>
          <w:rFonts w:cs="Arial"/>
          <w:b/>
          <w:bCs/>
          <w:sz w:val="24"/>
        </w:rPr>
        <w:t xml:space="preserve"> </w:t>
      </w:r>
      <w:r w:rsidRPr="00A1418E">
        <w:rPr>
          <w:rFonts w:cs="Arial"/>
          <w:sz w:val="24"/>
        </w:rPr>
        <w:t>Gatsby Foundation, CDI and Careers and Enterprise Company a guide for FE will be available.</w:t>
      </w:r>
    </w:p>
    <w:p w14:paraId="33357B32" w14:textId="77777777" w:rsidR="00BB77C5" w:rsidRPr="00A1418E" w:rsidRDefault="00BB77C5" w:rsidP="00BB77C5">
      <w:pPr>
        <w:rPr>
          <w:rFonts w:cs="Arial"/>
          <w:b/>
          <w:bCs/>
          <w:sz w:val="24"/>
        </w:rPr>
      </w:pPr>
    </w:p>
    <w:p w14:paraId="25C3EE81" w14:textId="402E3A54" w:rsidR="00BB77C5" w:rsidRPr="00A1418E" w:rsidRDefault="00BB77C5" w:rsidP="00BB77C5">
      <w:pPr>
        <w:rPr>
          <w:rFonts w:cs="Arial"/>
          <w:sz w:val="24"/>
        </w:rPr>
      </w:pPr>
      <w:r w:rsidRPr="00A1418E">
        <w:rPr>
          <w:rFonts w:cs="Arial"/>
          <w:b/>
          <w:bCs/>
          <w:sz w:val="24"/>
        </w:rPr>
        <w:t>University Guide</w:t>
      </w:r>
      <w:r w:rsidRPr="00A1418E">
        <w:rPr>
          <w:rFonts w:cs="Arial"/>
          <w:sz w:val="24"/>
        </w:rPr>
        <w:t xml:space="preserve"> – Working with The Association of Graduate Careers Advisory Services (AGCAS) a guide that shows how to apply the Standard in Higher Education.</w:t>
      </w:r>
    </w:p>
    <w:p w14:paraId="68A18D53" w14:textId="77777777" w:rsidR="00BB77C5" w:rsidRPr="00A1418E" w:rsidRDefault="00BB77C5" w:rsidP="00BB77C5">
      <w:pPr>
        <w:rPr>
          <w:rFonts w:cs="Arial"/>
          <w:sz w:val="24"/>
        </w:rPr>
      </w:pPr>
    </w:p>
    <w:p w14:paraId="18B7876A" w14:textId="77777777" w:rsidR="00BB77C5" w:rsidRPr="00A1418E" w:rsidRDefault="00BB77C5" w:rsidP="00BB77C5">
      <w:pPr>
        <w:rPr>
          <w:rFonts w:cs="Arial"/>
          <w:sz w:val="24"/>
        </w:rPr>
      </w:pPr>
      <w:r w:rsidRPr="00A1418E">
        <w:rPr>
          <w:rFonts w:cs="Arial"/>
          <w:b/>
          <w:bCs/>
          <w:sz w:val="24"/>
        </w:rPr>
        <w:t>National Careers Service</w:t>
      </w:r>
      <w:r w:rsidRPr="00A1418E">
        <w:rPr>
          <w:rFonts w:cs="Arial"/>
          <w:sz w:val="24"/>
        </w:rPr>
        <w:t xml:space="preserve"> – The National Careers Service guide which last updated in 2021 to reflect the new Standard.</w:t>
      </w:r>
    </w:p>
    <w:p w14:paraId="53D2B450" w14:textId="77777777" w:rsidR="00BB77C5" w:rsidRPr="00A1418E" w:rsidRDefault="00BB77C5" w:rsidP="00BB77C5">
      <w:pPr>
        <w:rPr>
          <w:rFonts w:cs="Arial"/>
          <w:sz w:val="24"/>
        </w:rPr>
      </w:pPr>
    </w:p>
    <w:p w14:paraId="555C53DA" w14:textId="36A64A32" w:rsidR="00BB77C5" w:rsidRPr="00A1418E" w:rsidRDefault="00BB77C5" w:rsidP="00BB77C5">
      <w:pPr>
        <w:rPr>
          <w:rFonts w:cs="Arial"/>
          <w:sz w:val="24"/>
        </w:rPr>
      </w:pPr>
      <w:r w:rsidRPr="00A1418E">
        <w:rPr>
          <w:rFonts w:cs="Arial"/>
          <w:b/>
          <w:bCs/>
          <w:sz w:val="24"/>
        </w:rPr>
        <w:t>Employability Guide</w:t>
      </w:r>
      <w:r w:rsidRPr="00A1418E">
        <w:rPr>
          <w:rFonts w:cs="Arial"/>
          <w:sz w:val="24"/>
        </w:rPr>
        <w:t xml:space="preserve"> – The current guide is called ‘Welfare to Work’ this is being updated to an ‘Employability Guide’</w:t>
      </w:r>
      <w:r w:rsidR="001B2C82" w:rsidRPr="00A1418E">
        <w:rPr>
          <w:rFonts w:cs="Arial"/>
          <w:sz w:val="24"/>
        </w:rPr>
        <w:t>.</w:t>
      </w:r>
      <w:r w:rsidRPr="00A1418E">
        <w:rPr>
          <w:rFonts w:cs="Arial"/>
          <w:sz w:val="24"/>
        </w:rPr>
        <w:t xml:space="preserve"> We are working with the Institute of Employability Professionals to produce this guide.</w:t>
      </w:r>
    </w:p>
    <w:p w14:paraId="5209B686" w14:textId="77777777" w:rsidR="00BB77C5" w:rsidRPr="00A1418E" w:rsidRDefault="00BB77C5" w:rsidP="00BB77C5">
      <w:pPr>
        <w:rPr>
          <w:rFonts w:cs="Arial"/>
          <w:sz w:val="24"/>
        </w:rPr>
      </w:pPr>
    </w:p>
    <w:p w14:paraId="59AC14D6" w14:textId="77777777" w:rsidR="00BB77C5" w:rsidRPr="00A1418E" w:rsidRDefault="00BB77C5" w:rsidP="00BB77C5">
      <w:pPr>
        <w:rPr>
          <w:rFonts w:cs="Arial"/>
          <w:sz w:val="24"/>
        </w:rPr>
      </w:pPr>
      <w:r w:rsidRPr="00A1418E">
        <w:rPr>
          <w:rFonts w:cs="Arial"/>
          <w:b/>
          <w:bCs/>
          <w:sz w:val="24"/>
        </w:rPr>
        <w:t>Digital Guide</w:t>
      </w:r>
      <w:r w:rsidRPr="00A1418E">
        <w:rPr>
          <w:rFonts w:cs="Arial"/>
          <w:sz w:val="24"/>
        </w:rPr>
        <w:t xml:space="preserve"> – A new guide will demonstrate how to apply the Standard in a fully digital or blended delivery model.</w:t>
      </w:r>
    </w:p>
    <w:p w14:paraId="39A82DA2" w14:textId="77777777" w:rsidR="00BB77C5" w:rsidRPr="00A1418E" w:rsidRDefault="00BB77C5" w:rsidP="00BB77C5">
      <w:pPr>
        <w:rPr>
          <w:rFonts w:cs="Arial"/>
          <w:sz w:val="24"/>
        </w:rPr>
      </w:pPr>
    </w:p>
    <w:p w14:paraId="03EB7C2B" w14:textId="77777777" w:rsidR="00BB77C5" w:rsidRPr="00A1418E" w:rsidRDefault="00BB77C5" w:rsidP="00BB77C5">
      <w:pPr>
        <w:rPr>
          <w:rFonts w:cs="Arial"/>
          <w:sz w:val="24"/>
        </w:rPr>
      </w:pPr>
      <w:r w:rsidRPr="00A1418E">
        <w:rPr>
          <w:rFonts w:cs="Arial"/>
          <w:b/>
          <w:bCs/>
          <w:sz w:val="24"/>
        </w:rPr>
        <w:t>Special Educational Needs and Disabilities</w:t>
      </w:r>
      <w:r w:rsidRPr="00A1418E">
        <w:rPr>
          <w:rFonts w:cs="Arial"/>
          <w:sz w:val="24"/>
        </w:rPr>
        <w:t xml:space="preserve"> (SEND)- A new guide is in production which looks at the application of the Standard in a SEND environment.</w:t>
      </w:r>
    </w:p>
    <w:p w14:paraId="7C0728B4" w14:textId="77777777" w:rsidR="00BB77C5" w:rsidRPr="00A1418E" w:rsidRDefault="00BB77C5" w:rsidP="00BB77C5">
      <w:pPr>
        <w:rPr>
          <w:rFonts w:cs="Arial"/>
          <w:sz w:val="24"/>
        </w:rPr>
      </w:pPr>
    </w:p>
    <w:p w14:paraId="74D3F515" w14:textId="0A956337" w:rsidR="00EE0831" w:rsidRPr="00A1418E" w:rsidRDefault="00BB77C5" w:rsidP="00BB77C5">
      <w:pPr>
        <w:rPr>
          <w:rFonts w:cs="Arial"/>
          <w:sz w:val="24"/>
        </w:rPr>
      </w:pPr>
      <w:r w:rsidRPr="00A1418E">
        <w:rPr>
          <w:rFonts w:cs="Arial"/>
          <w:b/>
          <w:bCs/>
          <w:sz w:val="24"/>
        </w:rPr>
        <w:t>Other Guides</w:t>
      </w:r>
      <w:r w:rsidRPr="00A1418E">
        <w:rPr>
          <w:rFonts w:cs="Arial"/>
          <w:sz w:val="24"/>
        </w:rPr>
        <w:t xml:space="preserve"> will be updated including Sixth Form, Sole Trader, Money and Pensions Service and The Welsh Government IAQF Guide</w:t>
      </w:r>
      <w:r w:rsidR="00EE0831" w:rsidRPr="00A1418E">
        <w:rPr>
          <w:rFonts w:cs="Arial"/>
          <w:sz w:val="24"/>
        </w:rPr>
        <w:t>.</w:t>
      </w:r>
    </w:p>
    <w:p w14:paraId="349D0BB3" w14:textId="77777777" w:rsidR="00BE7B5A" w:rsidRPr="003F7BE7" w:rsidRDefault="00BE7B5A" w:rsidP="008B5939">
      <w:pPr>
        <w:rPr>
          <w:rFonts w:cs="Arial"/>
          <w:szCs w:val="22"/>
        </w:rPr>
      </w:pPr>
    </w:p>
    <w:p w14:paraId="5465CADA" w14:textId="45119887" w:rsidR="00114801" w:rsidRPr="003F7BE7" w:rsidRDefault="00114801" w:rsidP="002217F7">
      <w:pPr>
        <w:rPr>
          <w:rFonts w:cs="Arial"/>
        </w:rPr>
      </w:pPr>
    </w:p>
    <w:p w14:paraId="35D72BA4" w14:textId="77777777" w:rsidR="00813AAD" w:rsidRPr="003F7BE7" w:rsidRDefault="00813AAD" w:rsidP="000B550F">
      <w:pPr>
        <w:pStyle w:val="Heading1"/>
        <w:sectPr w:rsidR="00813AAD" w:rsidRPr="003F7BE7" w:rsidSect="00E944D3">
          <w:pgSz w:w="11900" w:h="16840" w:code="9"/>
          <w:pgMar w:top="1134" w:right="1134" w:bottom="1134" w:left="1134" w:header="709" w:footer="709" w:gutter="0"/>
          <w:cols w:space="708"/>
          <w:titlePg/>
          <w:docGrid w:linePitch="360"/>
        </w:sectPr>
      </w:pPr>
      <w:bookmarkStart w:id="57" w:name="_Appendix_1_–Advisory"/>
      <w:bookmarkEnd w:id="57"/>
    </w:p>
    <w:p w14:paraId="305DDFCA" w14:textId="4B904940" w:rsidR="00431B50" w:rsidRPr="003F7BE7" w:rsidRDefault="00431B50" w:rsidP="000B550F">
      <w:pPr>
        <w:pStyle w:val="Heading1"/>
      </w:pPr>
      <w:bookmarkStart w:id="58" w:name="_Toc116456730"/>
      <w:bookmarkStart w:id="59" w:name="_Toc129688509"/>
      <w:r w:rsidRPr="00426A6A">
        <w:lastRenderedPageBreak/>
        <w:t>Appendix</w:t>
      </w:r>
      <w:r w:rsidRPr="00350757">
        <w:t xml:space="preserve"> 1</w:t>
      </w:r>
      <w:r w:rsidR="00426A6A">
        <w:t xml:space="preserve"> – </w:t>
      </w:r>
      <w:r w:rsidR="00717F58" w:rsidRPr="003F7BE7">
        <w:t>Advisory Group Membership</w:t>
      </w:r>
      <w:bookmarkEnd w:id="58"/>
      <w:bookmarkEnd w:id="59"/>
    </w:p>
    <w:p w14:paraId="4B1DE55D" w14:textId="54F50FE7" w:rsidR="00431B50" w:rsidRPr="003F7BE7" w:rsidRDefault="00431B50" w:rsidP="002217F7">
      <w:pPr>
        <w:rPr>
          <w:rFonts w:cs="Arial"/>
        </w:rPr>
      </w:pPr>
    </w:p>
    <w:p w14:paraId="62298C59" w14:textId="7493557F" w:rsidR="00EA0923" w:rsidRPr="003F7BE7" w:rsidRDefault="00585222" w:rsidP="002217F7">
      <w:pPr>
        <w:pStyle w:val="Heading3"/>
      </w:pPr>
      <w:bookmarkStart w:id="60" w:name="_Toc117261930"/>
      <w:r w:rsidRPr="003F7BE7">
        <w:rPr>
          <w:b/>
          <w:bCs/>
        </w:rPr>
        <w:t>matrix</w:t>
      </w:r>
      <w:r w:rsidRPr="003F7BE7">
        <w:t xml:space="preserve"> Accredited Service Providers</w:t>
      </w:r>
      <w:bookmarkEnd w:id="60"/>
    </w:p>
    <w:p w14:paraId="5343E06C" w14:textId="3911B410" w:rsidR="00585222" w:rsidRPr="00F35F62" w:rsidRDefault="000F60D2" w:rsidP="00CA35D9">
      <w:pPr>
        <w:pStyle w:val="Bullet"/>
        <w:rPr>
          <w:sz w:val="24"/>
          <w:szCs w:val="24"/>
        </w:rPr>
      </w:pPr>
      <w:r w:rsidRPr="00F35F62">
        <w:rPr>
          <w:sz w:val="24"/>
          <w:szCs w:val="24"/>
        </w:rPr>
        <w:t>Babington</w:t>
      </w:r>
    </w:p>
    <w:p w14:paraId="7272F738" w14:textId="6FEF9CC8" w:rsidR="000F60D2" w:rsidRPr="00F35F62" w:rsidRDefault="000F60D2" w:rsidP="00CA35D9">
      <w:pPr>
        <w:pStyle w:val="Bullet"/>
        <w:rPr>
          <w:sz w:val="24"/>
          <w:szCs w:val="24"/>
        </w:rPr>
      </w:pPr>
      <w:r w:rsidRPr="00F35F62">
        <w:rPr>
          <w:sz w:val="24"/>
          <w:szCs w:val="24"/>
        </w:rPr>
        <w:t>Brook</w:t>
      </w:r>
    </w:p>
    <w:p w14:paraId="565E9652" w14:textId="68A0B0E3" w:rsidR="000F60D2" w:rsidRPr="00F35F62" w:rsidRDefault="000F60D2" w:rsidP="00CA35D9">
      <w:pPr>
        <w:pStyle w:val="Bullet"/>
        <w:rPr>
          <w:sz w:val="24"/>
          <w:szCs w:val="24"/>
        </w:rPr>
      </w:pPr>
      <w:r w:rsidRPr="00F35F62">
        <w:rPr>
          <w:sz w:val="24"/>
          <w:szCs w:val="24"/>
        </w:rPr>
        <w:t>Valkyrie Support Services</w:t>
      </w:r>
    </w:p>
    <w:p w14:paraId="77AEED05" w14:textId="00DFAC55" w:rsidR="000F60D2" w:rsidRPr="00F35F62" w:rsidRDefault="000F60D2" w:rsidP="00CA35D9">
      <w:pPr>
        <w:pStyle w:val="Bullet"/>
        <w:rPr>
          <w:sz w:val="24"/>
          <w:szCs w:val="24"/>
        </w:rPr>
      </w:pPr>
      <w:r w:rsidRPr="00F35F62">
        <w:rPr>
          <w:sz w:val="24"/>
          <w:szCs w:val="24"/>
        </w:rPr>
        <w:t>The Coalfields Regeneration Trust</w:t>
      </w:r>
    </w:p>
    <w:p w14:paraId="305500F4" w14:textId="460C88FF" w:rsidR="00BE7B5A" w:rsidRPr="00F35F62" w:rsidRDefault="000F60D2" w:rsidP="00CA35D9">
      <w:pPr>
        <w:pStyle w:val="Bullet"/>
        <w:rPr>
          <w:rFonts w:eastAsia="Times New Roman"/>
          <w:color w:val="000000"/>
          <w:sz w:val="24"/>
          <w:szCs w:val="24"/>
          <w:lang w:eastAsia="en-GB"/>
        </w:rPr>
      </w:pPr>
      <w:r w:rsidRPr="00F35F62">
        <w:rPr>
          <w:sz w:val="24"/>
          <w:szCs w:val="24"/>
        </w:rPr>
        <w:t>Gloucestershire College (2 representatives)</w:t>
      </w:r>
    </w:p>
    <w:p w14:paraId="1FE2D74D" w14:textId="43A1C478" w:rsidR="000F60D2" w:rsidRPr="00F35F62" w:rsidRDefault="000F60D2"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Keith Cook Training Ltd</w:t>
      </w:r>
    </w:p>
    <w:p w14:paraId="2FFB1353" w14:textId="4DB002EE" w:rsidR="000F60D2" w:rsidRPr="00F35F62" w:rsidRDefault="000F60D2"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Northamptonshire Adult Learning</w:t>
      </w:r>
    </w:p>
    <w:p w14:paraId="69058197" w14:textId="7D41CE66" w:rsidR="000F60D2" w:rsidRPr="00F35F62" w:rsidRDefault="000F60D2"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Firebrand Training Ltd</w:t>
      </w:r>
    </w:p>
    <w:p w14:paraId="0561B808" w14:textId="2450CB34" w:rsidR="000F60D2" w:rsidRPr="00F35F62" w:rsidRDefault="000F60D2"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M.I.T. Skills</w:t>
      </w:r>
    </w:p>
    <w:p w14:paraId="245F387A" w14:textId="4B63DC4E" w:rsidR="000F60D2" w:rsidRPr="00F35F62" w:rsidRDefault="000F60D2"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Oldham College</w:t>
      </w:r>
    </w:p>
    <w:p w14:paraId="335ED88C" w14:textId="21AE4901" w:rsidR="000F60D2" w:rsidRPr="00F35F62" w:rsidRDefault="000F60D2"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 xml:space="preserve">Qube </w:t>
      </w:r>
      <w:proofErr w:type="gramStart"/>
      <w:r w:rsidRPr="00F35F62">
        <w:rPr>
          <w:rFonts w:eastAsia="Times New Roman"/>
          <w:color w:val="000000" w:themeColor="text1"/>
          <w:sz w:val="24"/>
          <w:szCs w:val="24"/>
          <w:lang w:eastAsia="en-GB"/>
        </w:rPr>
        <w:t>learning</w:t>
      </w:r>
      <w:proofErr w:type="gramEnd"/>
    </w:p>
    <w:p w14:paraId="36336941" w14:textId="6D2432D1" w:rsidR="000F60D2" w:rsidRPr="00F35F62" w:rsidRDefault="000F60D2"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Southampton City Council - Communities, Culture, &amp; Homes</w:t>
      </w:r>
    </w:p>
    <w:p w14:paraId="024618EF" w14:textId="1BFB45A8" w:rsidR="000F60D2" w:rsidRPr="00F35F62" w:rsidRDefault="000F60D2"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The Careers Group (6 representatives)</w:t>
      </w:r>
    </w:p>
    <w:p w14:paraId="20BE66ED" w14:textId="653E3AA4" w:rsidR="000F60D2" w:rsidRPr="00F35F62" w:rsidRDefault="000F60D2"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The Open University</w:t>
      </w:r>
    </w:p>
    <w:p w14:paraId="7FA5546F" w14:textId="03A9FE78" w:rsidR="007B3BC5" w:rsidRPr="00F35F62" w:rsidRDefault="000F60D2"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Education and Development Trust</w:t>
      </w:r>
    </w:p>
    <w:p w14:paraId="4BDA9F92" w14:textId="708400C0" w:rsidR="007B3BC5" w:rsidRPr="00F35F62" w:rsidRDefault="007B3BC5"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Growth Company (2 representatives)</w:t>
      </w:r>
    </w:p>
    <w:p w14:paraId="591F3615" w14:textId="687DAA91" w:rsidR="007B3BC5" w:rsidRPr="00F35F62" w:rsidRDefault="007B3BC5"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Prospects</w:t>
      </w:r>
    </w:p>
    <w:p w14:paraId="71A917AD" w14:textId="77777777" w:rsidR="007B3BC5" w:rsidRPr="00F35F62" w:rsidRDefault="007B3BC5"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Hopwood Hall College</w:t>
      </w:r>
    </w:p>
    <w:p w14:paraId="481255B9" w14:textId="0FCF7A3F" w:rsidR="00BE7B5A" w:rsidRPr="00F35F62" w:rsidRDefault="007B3BC5"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Hartlepool Borough Council (2 representatives)</w:t>
      </w:r>
    </w:p>
    <w:p w14:paraId="1C8C9475" w14:textId="0C7FB750" w:rsidR="000F60D2" w:rsidRPr="00F35F62" w:rsidRDefault="007B3BC5"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Leicester City Council</w:t>
      </w:r>
    </w:p>
    <w:p w14:paraId="57A5062E" w14:textId="261E9B86" w:rsidR="007B3BC5" w:rsidRPr="00F35F62" w:rsidRDefault="007B3BC5"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 xml:space="preserve">Ambitious About Autism (2 </w:t>
      </w:r>
      <w:r w:rsidR="00840166" w:rsidRPr="00F35F62">
        <w:rPr>
          <w:rFonts w:eastAsia="Times New Roman"/>
          <w:color w:val="000000" w:themeColor="text1"/>
          <w:sz w:val="24"/>
          <w:szCs w:val="24"/>
          <w:lang w:eastAsia="en-GB"/>
        </w:rPr>
        <w:t>representatives</w:t>
      </w:r>
      <w:r w:rsidRPr="00F35F62">
        <w:rPr>
          <w:rFonts w:eastAsia="Times New Roman"/>
          <w:color w:val="000000" w:themeColor="text1"/>
          <w:sz w:val="24"/>
          <w:szCs w:val="24"/>
          <w:lang w:eastAsia="en-GB"/>
        </w:rPr>
        <w:t>)</w:t>
      </w:r>
    </w:p>
    <w:p w14:paraId="156AF3E9" w14:textId="39FCB955" w:rsidR="000F60D2" w:rsidRPr="00F35F62" w:rsidRDefault="007B3BC5" w:rsidP="00CA35D9">
      <w:pPr>
        <w:pStyle w:val="Bullet"/>
        <w:rPr>
          <w:rFonts w:eastAsia="Times New Roman"/>
          <w:color w:val="000000"/>
          <w:sz w:val="24"/>
          <w:szCs w:val="24"/>
          <w:lang w:eastAsia="en-GB"/>
        </w:rPr>
      </w:pPr>
      <w:r w:rsidRPr="00F35F62">
        <w:rPr>
          <w:rFonts w:eastAsia="Times New Roman"/>
          <w:color w:val="000000" w:themeColor="text1"/>
          <w:sz w:val="24"/>
          <w:szCs w:val="24"/>
          <w:lang w:eastAsia="en-GB"/>
        </w:rPr>
        <w:t>Fareport</w:t>
      </w:r>
    </w:p>
    <w:p w14:paraId="6199C431" w14:textId="1260491F" w:rsidR="00585222" w:rsidRPr="003F7BE7" w:rsidRDefault="00585222" w:rsidP="002217F7">
      <w:pPr>
        <w:pStyle w:val="Heading3"/>
      </w:pPr>
      <w:bookmarkStart w:id="61" w:name="_Toc117261931"/>
      <w:r w:rsidRPr="003F7BE7">
        <w:t>Other Service Providers</w:t>
      </w:r>
      <w:bookmarkEnd w:id="61"/>
    </w:p>
    <w:p w14:paraId="6809BCAC" w14:textId="77777777" w:rsidR="007E50E1" w:rsidRPr="00B607E1" w:rsidRDefault="007E50E1" w:rsidP="00CA35D9">
      <w:pPr>
        <w:pStyle w:val="Bullet"/>
        <w:rPr>
          <w:sz w:val="24"/>
          <w:szCs w:val="24"/>
        </w:rPr>
      </w:pPr>
      <w:r w:rsidRPr="00B607E1">
        <w:rPr>
          <w:sz w:val="24"/>
          <w:szCs w:val="24"/>
        </w:rPr>
        <w:t>Toolshed/ New Meaning</w:t>
      </w:r>
    </w:p>
    <w:p w14:paraId="2B3876D1" w14:textId="77777777" w:rsidR="000F60D2" w:rsidRPr="003F7BE7" w:rsidRDefault="00585222" w:rsidP="002217F7">
      <w:pPr>
        <w:pStyle w:val="Heading3"/>
      </w:pPr>
      <w:bookmarkStart w:id="62" w:name="_Toc117261932"/>
      <w:r w:rsidRPr="003F7BE7">
        <w:t xml:space="preserve">Strategic </w:t>
      </w:r>
      <w:r w:rsidR="000F60D2" w:rsidRPr="003F7BE7">
        <w:t>Stakeholders</w:t>
      </w:r>
      <w:bookmarkEnd w:id="62"/>
    </w:p>
    <w:p w14:paraId="026F862F" w14:textId="2F20E4CD" w:rsidR="00BE7B5A" w:rsidRPr="00B607E1" w:rsidRDefault="000F60D2" w:rsidP="00CA35D9">
      <w:pPr>
        <w:pStyle w:val="Bullet"/>
        <w:rPr>
          <w:sz w:val="24"/>
          <w:szCs w:val="24"/>
          <w:lang w:eastAsia="en-GB"/>
        </w:rPr>
      </w:pPr>
      <w:r w:rsidRPr="00B607E1">
        <w:rPr>
          <w:sz w:val="24"/>
          <w:szCs w:val="24"/>
          <w:lang w:eastAsia="en-GB"/>
        </w:rPr>
        <w:t>Skills Development Scotland</w:t>
      </w:r>
    </w:p>
    <w:p w14:paraId="2DA93CCE" w14:textId="788E96C2" w:rsidR="000F60D2" w:rsidRPr="00B607E1" w:rsidRDefault="000F60D2" w:rsidP="00CA35D9">
      <w:pPr>
        <w:pStyle w:val="Bullet"/>
        <w:rPr>
          <w:sz w:val="24"/>
          <w:szCs w:val="24"/>
          <w:lang w:eastAsia="en-GB"/>
        </w:rPr>
      </w:pPr>
      <w:r w:rsidRPr="00B607E1">
        <w:rPr>
          <w:sz w:val="24"/>
          <w:szCs w:val="24"/>
          <w:lang w:eastAsia="en-GB"/>
        </w:rPr>
        <w:t>Association of Colleges</w:t>
      </w:r>
    </w:p>
    <w:p w14:paraId="113A7FD3" w14:textId="260E2C4D" w:rsidR="000F60D2" w:rsidRPr="00B607E1" w:rsidRDefault="000F60D2" w:rsidP="00CA35D9">
      <w:pPr>
        <w:pStyle w:val="Bullet"/>
        <w:rPr>
          <w:sz w:val="24"/>
          <w:szCs w:val="24"/>
          <w:lang w:eastAsia="en-GB"/>
        </w:rPr>
      </w:pPr>
      <w:r w:rsidRPr="00B607E1">
        <w:rPr>
          <w:sz w:val="24"/>
          <w:szCs w:val="24"/>
          <w:lang w:eastAsia="en-GB"/>
        </w:rPr>
        <w:t>AGCAS</w:t>
      </w:r>
    </w:p>
    <w:p w14:paraId="08C6424B" w14:textId="02802726" w:rsidR="000F60D2" w:rsidRPr="00B607E1" w:rsidRDefault="000F60D2" w:rsidP="00CA35D9">
      <w:pPr>
        <w:pStyle w:val="Bullet"/>
        <w:rPr>
          <w:sz w:val="24"/>
          <w:szCs w:val="24"/>
          <w:lang w:eastAsia="en-GB"/>
        </w:rPr>
      </w:pPr>
      <w:r w:rsidRPr="00B607E1">
        <w:rPr>
          <w:sz w:val="24"/>
          <w:szCs w:val="24"/>
          <w:lang w:eastAsia="en-GB"/>
        </w:rPr>
        <w:t>WMCA (2 representatives)</w:t>
      </w:r>
    </w:p>
    <w:p w14:paraId="096A9A79" w14:textId="3D414CCF" w:rsidR="000F60D2" w:rsidRPr="00B607E1" w:rsidRDefault="000F60D2" w:rsidP="00CA35D9">
      <w:pPr>
        <w:pStyle w:val="Bullet"/>
        <w:rPr>
          <w:sz w:val="24"/>
          <w:szCs w:val="24"/>
          <w:lang w:eastAsia="en-GB"/>
        </w:rPr>
      </w:pPr>
      <w:r w:rsidRPr="00B607E1">
        <w:rPr>
          <w:sz w:val="24"/>
          <w:szCs w:val="24"/>
          <w:lang w:eastAsia="en-GB"/>
        </w:rPr>
        <w:t>Citizens Advice (2 representatives)</w:t>
      </w:r>
    </w:p>
    <w:p w14:paraId="02235E45" w14:textId="63D47D27" w:rsidR="000F60D2" w:rsidRPr="00B607E1" w:rsidRDefault="000F60D2" w:rsidP="00CA35D9">
      <w:pPr>
        <w:pStyle w:val="Bullet"/>
        <w:rPr>
          <w:sz w:val="24"/>
          <w:szCs w:val="24"/>
          <w:lang w:eastAsia="en-GB"/>
        </w:rPr>
      </w:pPr>
      <w:r w:rsidRPr="00B607E1">
        <w:rPr>
          <w:sz w:val="24"/>
          <w:szCs w:val="24"/>
          <w:lang w:eastAsia="en-GB"/>
        </w:rPr>
        <w:t>Quality in Careers</w:t>
      </w:r>
    </w:p>
    <w:p w14:paraId="69D222B9" w14:textId="64D095A6" w:rsidR="007B3BC5" w:rsidRPr="00B607E1" w:rsidRDefault="007B3BC5" w:rsidP="00CA35D9">
      <w:pPr>
        <w:pStyle w:val="Bullet"/>
        <w:rPr>
          <w:sz w:val="24"/>
          <w:szCs w:val="24"/>
          <w:lang w:eastAsia="en-GB"/>
        </w:rPr>
      </w:pPr>
      <w:r w:rsidRPr="00B607E1">
        <w:rPr>
          <w:sz w:val="24"/>
          <w:szCs w:val="24"/>
          <w:lang w:eastAsia="en-GB"/>
        </w:rPr>
        <w:t>Lantra</w:t>
      </w:r>
    </w:p>
    <w:p w14:paraId="4023A37E" w14:textId="4186C2C8" w:rsidR="000F60D2" w:rsidRPr="00B607E1" w:rsidRDefault="007B3BC5" w:rsidP="00CA35D9">
      <w:pPr>
        <w:pStyle w:val="Bullet"/>
        <w:rPr>
          <w:sz w:val="24"/>
          <w:szCs w:val="24"/>
          <w:lang w:eastAsia="en-GB"/>
        </w:rPr>
      </w:pPr>
      <w:r w:rsidRPr="00B607E1">
        <w:rPr>
          <w:sz w:val="24"/>
          <w:szCs w:val="24"/>
          <w:lang w:eastAsia="en-GB"/>
        </w:rPr>
        <w:t>iCeGS</w:t>
      </w:r>
    </w:p>
    <w:p w14:paraId="69EB39D6" w14:textId="596E8A4D" w:rsidR="007B3BC5" w:rsidRPr="00B607E1" w:rsidRDefault="007B3BC5" w:rsidP="00CA35D9">
      <w:pPr>
        <w:pStyle w:val="Bullet"/>
        <w:rPr>
          <w:sz w:val="24"/>
          <w:szCs w:val="24"/>
          <w:lang w:eastAsia="en-GB"/>
        </w:rPr>
      </w:pPr>
      <w:r w:rsidRPr="00B607E1">
        <w:rPr>
          <w:sz w:val="24"/>
          <w:szCs w:val="24"/>
          <w:lang w:eastAsia="en-GB"/>
        </w:rPr>
        <w:t>Money Advice Pensions Service</w:t>
      </w:r>
    </w:p>
    <w:p w14:paraId="00BC90D5" w14:textId="4F463253" w:rsidR="007B3BC5" w:rsidRPr="00B607E1" w:rsidRDefault="007B3BC5" w:rsidP="00CA35D9">
      <w:pPr>
        <w:pStyle w:val="Bullet"/>
        <w:rPr>
          <w:sz w:val="24"/>
          <w:szCs w:val="24"/>
          <w:lang w:eastAsia="en-GB"/>
        </w:rPr>
      </w:pPr>
      <w:r w:rsidRPr="00B607E1">
        <w:rPr>
          <w:sz w:val="24"/>
          <w:szCs w:val="24"/>
          <w:lang w:eastAsia="en-GB"/>
        </w:rPr>
        <w:t>Gatsby Foundation (2 representatives)</w:t>
      </w:r>
    </w:p>
    <w:p w14:paraId="2528E169" w14:textId="62E8362B" w:rsidR="007B3BC5" w:rsidRPr="00B607E1" w:rsidRDefault="007B3BC5" w:rsidP="00CA35D9">
      <w:pPr>
        <w:pStyle w:val="Bullet"/>
        <w:rPr>
          <w:sz w:val="24"/>
          <w:szCs w:val="24"/>
          <w:lang w:eastAsia="en-GB"/>
        </w:rPr>
      </w:pPr>
      <w:r w:rsidRPr="00B607E1">
        <w:rPr>
          <w:sz w:val="24"/>
          <w:szCs w:val="24"/>
          <w:lang w:eastAsia="en-GB"/>
        </w:rPr>
        <w:t>Careers and Enterprise Company</w:t>
      </w:r>
    </w:p>
    <w:p w14:paraId="71DF384D" w14:textId="136E98B5" w:rsidR="000F60D2" w:rsidRPr="00B607E1" w:rsidRDefault="007E50E1" w:rsidP="00CA35D9">
      <w:pPr>
        <w:pStyle w:val="Bullet"/>
        <w:rPr>
          <w:sz w:val="24"/>
          <w:szCs w:val="24"/>
          <w:lang w:eastAsia="en-GB"/>
        </w:rPr>
      </w:pPr>
      <w:r w:rsidRPr="00B607E1">
        <w:rPr>
          <w:sz w:val="24"/>
          <w:szCs w:val="24"/>
          <w:lang w:eastAsia="en-GB"/>
        </w:rPr>
        <w:t>Holex</w:t>
      </w:r>
    </w:p>
    <w:p w14:paraId="0B7B62BD" w14:textId="1FA696A6" w:rsidR="00BE7B5A" w:rsidRPr="003F7BE7" w:rsidRDefault="000F60D2" w:rsidP="002217F7">
      <w:pPr>
        <w:pStyle w:val="Heading3"/>
      </w:pPr>
      <w:bookmarkStart w:id="63" w:name="_Toc117261933"/>
      <w:r w:rsidRPr="003F7BE7">
        <w:t>Practitioners</w:t>
      </w:r>
      <w:r w:rsidR="007B3BC5" w:rsidRPr="003F7BE7">
        <w:t>/ Consultants</w:t>
      </w:r>
      <w:bookmarkEnd w:id="63"/>
    </w:p>
    <w:p w14:paraId="1ACE6CD2" w14:textId="326DD854" w:rsidR="000F60D2" w:rsidRPr="00B607E1" w:rsidRDefault="007B3BC5" w:rsidP="00CA35D9">
      <w:pPr>
        <w:pStyle w:val="Bullet"/>
        <w:rPr>
          <w:sz w:val="24"/>
          <w:szCs w:val="24"/>
        </w:rPr>
      </w:pPr>
      <w:r w:rsidRPr="00B607E1">
        <w:rPr>
          <w:sz w:val="24"/>
          <w:szCs w:val="24"/>
        </w:rPr>
        <w:t>3</w:t>
      </w:r>
      <w:r w:rsidR="000F60D2" w:rsidRPr="00B607E1">
        <w:rPr>
          <w:sz w:val="24"/>
          <w:szCs w:val="24"/>
        </w:rPr>
        <w:t xml:space="preserve"> named </w:t>
      </w:r>
      <w:r w:rsidRPr="00B607E1">
        <w:rPr>
          <w:b/>
          <w:bCs/>
          <w:sz w:val="24"/>
          <w:szCs w:val="24"/>
        </w:rPr>
        <w:t xml:space="preserve">matrix </w:t>
      </w:r>
      <w:r w:rsidR="000F60D2" w:rsidRPr="00B607E1">
        <w:rPr>
          <w:sz w:val="24"/>
          <w:szCs w:val="24"/>
        </w:rPr>
        <w:t>practitioners</w:t>
      </w:r>
    </w:p>
    <w:p w14:paraId="34945768" w14:textId="35DD4EE3" w:rsidR="003A6365" w:rsidRPr="00B607E1" w:rsidRDefault="007B3BC5" w:rsidP="00CA35D9">
      <w:pPr>
        <w:pStyle w:val="Bullet"/>
        <w:rPr>
          <w:sz w:val="24"/>
          <w:szCs w:val="24"/>
        </w:rPr>
      </w:pPr>
      <w:r w:rsidRPr="00B607E1">
        <w:rPr>
          <w:sz w:val="24"/>
          <w:szCs w:val="24"/>
        </w:rPr>
        <w:t>Former Ofsted Inspector</w:t>
      </w:r>
    </w:p>
    <w:p w14:paraId="1A003051" w14:textId="77777777" w:rsidR="00813AAD" w:rsidRPr="003F7BE7" w:rsidRDefault="00813AAD" w:rsidP="00CA35D9">
      <w:pPr>
        <w:pStyle w:val="Bullet"/>
        <w:sectPr w:rsidR="00813AAD" w:rsidRPr="003F7BE7" w:rsidSect="00E944D3">
          <w:pgSz w:w="11900" w:h="16840" w:code="9"/>
          <w:pgMar w:top="1134" w:right="1134" w:bottom="1134" w:left="1134" w:header="709" w:footer="709" w:gutter="0"/>
          <w:cols w:space="708"/>
          <w:titlePg/>
          <w:docGrid w:linePitch="360"/>
        </w:sectPr>
      </w:pPr>
      <w:bookmarkStart w:id="64" w:name="_Appendix_2_-"/>
      <w:bookmarkEnd w:id="64"/>
    </w:p>
    <w:p w14:paraId="7B3AF30C" w14:textId="67F082A1" w:rsidR="003A6365" w:rsidRPr="00E944D3" w:rsidRDefault="00A14B43" w:rsidP="000B550F">
      <w:pPr>
        <w:pStyle w:val="Heading1"/>
      </w:pPr>
      <w:bookmarkStart w:id="65" w:name="_Toc116456731"/>
      <w:bookmarkStart w:id="66" w:name="_Toc129688510"/>
      <w:r w:rsidRPr="00426A6A">
        <w:lastRenderedPageBreak/>
        <w:t>Appendix</w:t>
      </w:r>
      <w:r w:rsidRPr="00350757">
        <w:t xml:space="preserve"> </w:t>
      </w:r>
      <w:r w:rsidR="00F04DA9" w:rsidRPr="00350757">
        <w:t>2</w:t>
      </w:r>
      <w:r w:rsidRPr="00C36FBC">
        <w:t xml:space="preserve"> </w:t>
      </w:r>
      <w:r w:rsidR="009B7948" w:rsidRPr="009049B8">
        <w:t>–</w:t>
      </w:r>
      <w:r w:rsidR="00AF4AD8" w:rsidRPr="00502083">
        <w:t xml:space="preserve"> </w:t>
      </w:r>
      <w:r w:rsidR="003A6365" w:rsidRPr="00502083">
        <w:t xml:space="preserve">Pilot </w:t>
      </w:r>
      <w:r w:rsidR="003A6365" w:rsidRPr="00E944D3">
        <w:t>Organisations</w:t>
      </w:r>
      <w:bookmarkEnd w:id="65"/>
      <w:bookmarkEnd w:id="66"/>
    </w:p>
    <w:p w14:paraId="0D0746BD" w14:textId="77777777" w:rsidR="007B4CA0" w:rsidRPr="003F7BE7" w:rsidRDefault="007B4CA0" w:rsidP="002217F7">
      <w:pPr>
        <w:tabs>
          <w:tab w:val="left" w:pos="3870"/>
        </w:tabs>
        <w:rPr>
          <w:rFonts w:cs="Arial"/>
        </w:rPr>
      </w:pPr>
    </w:p>
    <w:p w14:paraId="2439D40F" w14:textId="77777777" w:rsidR="006D2FA3" w:rsidRPr="003F7BE7" w:rsidRDefault="006D2FA3" w:rsidP="002217F7">
      <w:pPr>
        <w:pStyle w:val="Heading3"/>
      </w:pPr>
      <w:bookmarkStart w:id="67" w:name="_Toc117261935"/>
      <w:r w:rsidRPr="003F7BE7">
        <w:t>Full Pilots</w:t>
      </w:r>
      <w:bookmarkEnd w:id="67"/>
    </w:p>
    <w:p w14:paraId="7BA2D826" w14:textId="77777777" w:rsidR="006D2FA3" w:rsidRPr="00B607E1" w:rsidRDefault="006D2FA3" w:rsidP="00CA35D9">
      <w:pPr>
        <w:pStyle w:val="Bullet"/>
        <w:rPr>
          <w:sz w:val="24"/>
          <w:szCs w:val="24"/>
        </w:rPr>
      </w:pPr>
      <w:r w:rsidRPr="00B607E1">
        <w:rPr>
          <w:sz w:val="24"/>
          <w:szCs w:val="24"/>
        </w:rPr>
        <w:t>Go4it/ Core Values</w:t>
      </w:r>
    </w:p>
    <w:p w14:paraId="314B158E" w14:textId="77777777" w:rsidR="006D2FA3" w:rsidRPr="00B607E1" w:rsidRDefault="006D2FA3" w:rsidP="00CA35D9">
      <w:pPr>
        <w:pStyle w:val="Bullet"/>
        <w:rPr>
          <w:sz w:val="24"/>
          <w:szCs w:val="24"/>
        </w:rPr>
      </w:pPr>
      <w:r w:rsidRPr="00B607E1">
        <w:rPr>
          <w:sz w:val="24"/>
          <w:szCs w:val="24"/>
        </w:rPr>
        <w:t>Coalfield Regeneration Trust</w:t>
      </w:r>
    </w:p>
    <w:p w14:paraId="2886A3DB" w14:textId="77777777" w:rsidR="006D2FA3" w:rsidRPr="00B607E1" w:rsidRDefault="006D2FA3" w:rsidP="00CA35D9">
      <w:pPr>
        <w:pStyle w:val="Bullet"/>
        <w:rPr>
          <w:sz w:val="24"/>
          <w:szCs w:val="24"/>
        </w:rPr>
      </w:pPr>
      <w:r w:rsidRPr="00B607E1">
        <w:rPr>
          <w:sz w:val="24"/>
          <w:szCs w:val="24"/>
        </w:rPr>
        <w:t>Torus Foundation</w:t>
      </w:r>
    </w:p>
    <w:p w14:paraId="5048D609" w14:textId="77777777" w:rsidR="006D2FA3" w:rsidRPr="00B607E1" w:rsidRDefault="006D2FA3" w:rsidP="00CA35D9">
      <w:pPr>
        <w:pStyle w:val="Bullet"/>
        <w:rPr>
          <w:sz w:val="24"/>
          <w:szCs w:val="24"/>
        </w:rPr>
      </w:pPr>
      <w:r w:rsidRPr="00B607E1">
        <w:rPr>
          <w:sz w:val="24"/>
          <w:szCs w:val="24"/>
        </w:rPr>
        <w:t>Leicester City Council - Adult Learning</w:t>
      </w:r>
    </w:p>
    <w:p w14:paraId="1547EA11" w14:textId="77777777" w:rsidR="006D2FA3" w:rsidRPr="00B607E1" w:rsidRDefault="006D2FA3" w:rsidP="00CA35D9">
      <w:pPr>
        <w:pStyle w:val="Bullet"/>
        <w:rPr>
          <w:sz w:val="24"/>
          <w:szCs w:val="24"/>
        </w:rPr>
      </w:pPr>
      <w:r w:rsidRPr="00B607E1">
        <w:rPr>
          <w:sz w:val="24"/>
          <w:szCs w:val="24"/>
        </w:rPr>
        <w:t>The Education Development Trust</w:t>
      </w:r>
    </w:p>
    <w:p w14:paraId="02EB5D01" w14:textId="77777777" w:rsidR="006D2FA3" w:rsidRPr="00B607E1" w:rsidRDefault="006D2FA3" w:rsidP="00CA35D9">
      <w:pPr>
        <w:pStyle w:val="Bullet"/>
        <w:rPr>
          <w:sz w:val="24"/>
          <w:szCs w:val="24"/>
        </w:rPr>
      </w:pPr>
      <w:r w:rsidRPr="00B607E1">
        <w:rPr>
          <w:sz w:val="24"/>
          <w:szCs w:val="24"/>
        </w:rPr>
        <w:t>ATS</w:t>
      </w:r>
    </w:p>
    <w:p w14:paraId="1A5BA623" w14:textId="77777777" w:rsidR="006D2FA3" w:rsidRPr="00B607E1" w:rsidRDefault="006D2FA3" w:rsidP="00CA35D9">
      <w:pPr>
        <w:pStyle w:val="Bullet"/>
        <w:rPr>
          <w:sz w:val="24"/>
          <w:szCs w:val="24"/>
        </w:rPr>
      </w:pPr>
      <w:r w:rsidRPr="00B607E1">
        <w:rPr>
          <w:sz w:val="24"/>
          <w:szCs w:val="24"/>
        </w:rPr>
        <w:t>Brook</w:t>
      </w:r>
    </w:p>
    <w:p w14:paraId="49015E17" w14:textId="77777777" w:rsidR="006D2FA3" w:rsidRPr="00B607E1" w:rsidRDefault="006D2FA3" w:rsidP="00CA35D9">
      <w:pPr>
        <w:pStyle w:val="Bullet"/>
        <w:rPr>
          <w:sz w:val="24"/>
          <w:szCs w:val="24"/>
        </w:rPr>
      </w:pPr>
      <w:r w:rsidRPr="00B607E1">
        <w:rPr>
          <w:sz w:val="24"/>
          <w:szCs w:val="24"/>
        </w:rPr>
        <w:t>Watford Women's Centre Plus</w:t>
      </w:r>
    </w:p>
    <w:p w14:paraId="54836CE0" w14:textId="77777777" w:rsidR="006D2FA3" w:rsidRPr="00B607E1" w:rsidRDefault="006D2FA3" w:rsidP="00CA35D9">
      <w:pPr>
        <w:pStyle w:val="Bullet"/>
        <w:rPr>
          <w:sz w:val="24"/>
          <w:szCs w:val="24"/>
        </w:rPr>
      </w:pPr>
      <w:r w:rsidRPr="00B607E1">
        <w:rPr>
          <w:sz w:val="24"/>
          <w:szCs w:val="24"/>
        </w:rPr>
        <w:t>Dimensions Training Solutions (DTS)</w:t>
      </w:r>
    </w:p>
    <w:p w14:paraId="50F4A304" w14:textId="77777777" w:rsidR="006D2FA3" w:rsidRPr="00B607E1" w:rsidRDefault="006D2FA3" w:rsidP="00CA35D9">
      <w:pPr>
        <w:pStyle w:val="Bullet"/>
        <w:rPr>
          <w:sz w:val="24"/>
          <w:szCs w:val="24"/>
        </w:rPr>
      </w:pPr>
      <w:r w:rsidRPr="00B607E1">
        <w:rPr>
          <w:sz w:val="24"/>
          <w:szCs w:val="24"/>
        </w:rPr>
        <w:t>Lindsay Evans Careers Guidance Services Limited</w:t>
      </w:r>
    </w:p>
    <w:p w14:paraId="541EC1E5" w14:textId="77777777" w:rsidR="006D2FA3" w:rsidRPr="00B607E1" w:rsidRDefault="006D2FA3" w:rsidP="00CA35D9">
      <w:pPr>
        <w:pStyle w:val="Bullet"/>
        <w:rPr>
          <w:sz w:val="24"/>
          <w:szCs w:val="24"/>
        </w:rPr>
      </w:pPr>
      <w:r w:rsidRPr="00B607E1">
        <w:rPr>
          <w:sz w:val="24"/>
          <w:szCs w:val="24"/>
        </w:rPr>
        <w:t>Community Learning &amp; Skills Team - Cumbria</w:t>
      </w:r>
    </w:p>
    <w:p w14:paraId="3B01482E" w14:textId="77777777" w:rsidR="006D2FA3" w:rsidRPr="00B607E1" w:rsidRDefault="006D2FA3" w:rsidP="00CA35D9">
      <w:pPr>
        <w:pStyle w:val="Bullet"/>
        <w:rPr>
          <w:sz w:val="24"/>
          <w:szCs w:val="24"/>
        </w:rPr>
      </w:pPr>
      <w:r w:rsidRPr="00B607E1">
        <w:rPr>
          <w:sz w:val="24"/>
          <w:szCs w:val="24"/>
        </w:rPr>
        <w:t>Go Train</w:t>
      </w:r>
    </w:p>
    <w:p w14:paraId="3B3AEC52" w14:textId="77777777" w:rsidR="006D2FA3" w:rsidRPr="00B607E1" w:rsidRDefault="006D2FA3" w:rsidP="00CA35D9">
      <w:pPr>
        <w:pStyle w:val="Bullet"/>
        <w:rPr>
          <w:sz w:val="24"/>
          <w:szCs w:val="24"/>
        </w:rPr>
      </w:pPr>
      <w:r w:rsidRPr="00B607E1">
        <w:rPr>
          <w:sz w:val="24"/>
          <w:szCs w:val="24"/>
        </w:rPr>
        <w:t>Street League: England</w:t>
      </w:r>
    </w:p>
    <w:p w14:paraId="5E88D6EF" w14:textId="77777777" w:rsidR="006D2FA3" w:rsidRPr="00B607E1" w:rsidRDefault="006D2FA3" w:rsidP="00CA35D9">
      <w:pPr>
        <w:pStyle w:val="Bullet"/>
        <w:rPr>
          <w:sz w:val="24"/>
          <w:szCs w:val="24"/>
        </w:rPr>
      </w:pPr>
      <w:r w:rsidRPr="00B607E1">
        <w:rPr>
          <w:sz w:val="24"/>
          <w:szCs w:val="24"/>
        </w:rPr>
        <w:t>Colchester Institute</w:t>
      </w:r>
    </w:p>
    <w:p w14:paraId="42AA8429" w14:textId="77777777" w:rsidR="006D2FA3" w:rsidRPr="00B607E1" w:rsidRDefault="006D2FA3" w:rsidP="00CA35D9">
      <w:pPr>
        <w:pStyle w:val="Bullet"/>
        <w:rPr>
          <w:sz w:val="24"/>
          <w:szCs w:val="24"/>
        </w:rPr>
      </w:pPr>
      <w:r w:rsidRPr="00B607E1">
        <w:rPr>
          <w:sz w:val="24"/>
          <w:szCs w:val="24"/>
        </w:rPr>
        <w:t>1st2Achieve Training</w:t>
      </w:r>
    </w:p>
    <w:p w14:paraId="229D03F8" w14:textId="77777777" w:rsidR="006D2FA3" w:rsidRPr="00B607E1" w:rsidRDefault="006D2FA3" w:rsidP="00CA35D9">
      <w:pPr>
        <w:pStyle w:val="Bullet"/>
        <w:rPr>
          <w:sz w:val="24"/>
          <w:szCs w:val="24"/>
        </w:rPr>
      </w:pPr>
      <w:r w:rsidRPr="00B607E1">
        <w:rPr>
          <w:sz w:val="24"/>
          <w:szCs w:val="24"/>
        </w:rPr>
        <w:t>Direct Education Business Partnership</w:t>
      </w:r>
    </w:p>
    <w:p w14:paraId="7CAE0A38" w14:textId="77777777" w:rsidR="006D2FA3" w:rsidRPr="00B607E1" w:rsidRDefault="006D2FA3" w:rsidP="00CA35D9">
      <w:pPr>
        <w:pStyle w:val="Bullet"/>
        <w:rPr>
          <w:sz w:val="24"/>
          <w:szCs w:val="24"/>
        </w:rPr>
      </w:pPr>
      <w:r w:rsidRPr="00B607E1">
        <w:rPr>
          <w:sz w:val="24"/>
          <w:szCs w:val="24"/>
        </w:rPr>
        <w:t>The Cambridge Housing Society</w:t>
      </w:r>
    </w:p>
    <w:p w14:paraId="690C51D1" w14:textId="77777777" w:rsidR="007B4CA0" w:rsidRPr="003F7BE7" w:rsidRDefault="007B4CA0" w:rsidP="002217F7">
      <w:pPr>
        <w:tabs>
          <w:tab w:val="left" w:pos="3870"/>
        </w:tabs>
        <w:rPr>
          <w:rFonts w:cs="Arial"/>
        </w:rPr>
      </w:pPr>
    </w:p>
    <w:p w14:paraId="17879FD7" w14:textId="1D826BD8" w:rsidR="00BE7B5A" w:rsidRPr="003F7BE7" w:rsidRDefault="006D2FA3" w:rsidP="002217F7">
      <w:pPr>
        <w:pStyle w:val="Heading3"/>
      </w:pPr>
      <w:bookmarkStart w:id="68" w:name="_Toc117261936"/>
      <w:r w:rsidRPr="003F7BE7">
        <w:t>Continuous Improvement Check Pilots</w:t>
      </w:r>
      <w:bookmarkEnd w:id="68"/>
    </w:p>
    <w:p w14:paraId="76CBC583" w14:textId="77777777" w:rsidR="006D2FA3" w:rsidRPr="00B607E1" w:rsidRDefault="006D2FA3" w:rsidP="00CA35D9">
      <w:pPr>
        <w:pStyle w:val="Bullet"/>
        <w:rPr>
          <w:sz w:val="24"/>
          <w:szCs w:val="24"/>
        </w:rPr>
      </w:pPr>
      <w:r w:rsidRPr="00B607E1">
        <w:rPr>
          <w:sz w:val="24"/>
          <w:szCs w:val="24"/>
        </w:rPr>
        <w:t>ENHAM TRUST - Skills 2 Achieve</w:t>
      </w:r>
    </w:p>
    <w:p w14:paraId="490BC7E6" w14:textId="11D9B025" w:rsidR="00BE7B5A" w:rsidRPr="00B607E1" w:rsidRDefault="006D2FA3" w:rsidP="00CA35D9">
      <w:pPr>
        <w:pStyle w:val="Bullet"/>
        <w:rPr>
          <w:sz w:val="24"/>
          <w:szCs w:val="24"/>
        </w:rPr>
      </w:pPr>
      <w:r w:rsidRPr="00B607E1">
        <w:rPr>
          <w:sz w:val="24"/>
          <w:szCs w:val="24"/>
        </w:rPr>
        <w:t>DHI - Developing Health &amp; Independence</w:t>
      </w:r>
    </w:p>
    <w:p w14:paraId="6400941D" w14:textId="1494CF93" w:rsidR="00BE7B5A" w:rsidRPr="00B607E1" w:rsidRDefault="006D2FA3" w:rsidP="00CA35D9">
      <w:pPr>
        <w:pStyle w:val="Bullet"/>
        <w:rPr>
          <w:sz w:val="24"/>
          <w:szCs w:val="24"/>
        </w:rPr>
      </w:pPr>
      <w:r w:rsidRPr="00B607E1">
        <w:rPr>
          <w:sz w:val="24"/>
          <w:szCs w:val="24"/>
        </w:rPr>
        <w:t>Western Vocational Progression Consortium</w:t>
      </w:r>
    </w:p>
    <w:p w14:paraId="16DC31C4" w14:textId="77777777" w:rsidR="006D2FA3" w:rsidRPr="00B607E1" w:rsidRDefault="006D2FA3" w:rsidP="00CA35D9">
      <w:pPr>
        <w:pStyle w:val="Bullet"/>
        <w:rPr>
          <w:sz w:val="24"/>
          <w:szCs w:val="24"/>
        </w:rPr>
      </w:pPr>
      <w:r w:rsidRPr="00B607E1">
        <w:rPr>
          <w:sz w:val="24"/>
          <w:szCs w:val="24"/>
        </w:rPr>
        <w:t>Wiltshire Council - Family &amp; Community Learning</w:t>
      </w:r>
    </w:p>
    <w:p w14:paraId="186DE78B" w14:textId="77777777" w:rsidR="006D2FA3" w:rsidRPr="00B607E1" w:rsidRDefault="006D2FA3" w:rsidP="00CA35D9">
      <w:pPr>
        <w:pStyle w:val="Bullet"/>
        <w:rPr>
          <w:sz w:val="24"/>
          <w:szCs w:val="24"/>
        </w:rPr>
      </w:pPr>
      <w:r w:rsidRPr="00B607E1">
        <w:rPr>
          <w:sz w:val="24"/>
          <w:szCs w:val="24"/>
        </w:rPr>
        <w:t>The Hope Foundation</w:t>
      </w:r>
    </w:p>
    <w:p w14:paraId="4B5880D1" w14:textId="77777777" w:rsidR="006D2FA3" w:rsidRPr="00B607E1" w:rsidRDefault="006D2FA3" w:rsidP="00CA35D9">
      <w:pPr>
        <w:pStyle w:val="Bullet"/>
        <w:rPr>
          <w:sz w:val="24"/>
          <w:szCs w:val="24"/>
        </w:rPr>
      </w:pPr>
      <w:r w:rsidRPr="00B607E1">
        <w:rPr>
          <w:sz w:val="24"/>
          <w:szCs w:val="24"/>
        </w:rPr>
        <w:t>Winnovation</w:t>
      </w:r>
    </w:p>
    <w:p w14:paraId="1D529C3D" w14:textId="77777777" w:rsidR="006D2FA3" w:rsidRPr="00B607E1" w:rsidRDefault="006D2FA3" w:rsidP="00CA35D9">
      <w:pPr>
        <w:pStyle w:val="Bullet"/>
        <w:rPr>
          <w:sz w:val="24"/>
          <w:szCs w:val="24"/>
        </w:rPr>
      </w:pPr>
      <w:r w:rsidRPr="00B607E1">
        <w:rPr>
          <w:sz w:val="24"/>
          <w:szCs w:val="24"/>
        </w:rPr>
        <w:t>National Horse Racing College</w:t>
      </w:r>
    </w:p>
    <w:p w14:paraId="054092B3" w14:textId="77777777" w:rsidR="006D2FA3" w:rsidRPr="00B607E1" w:rsidRDefault="006D2FA3" w:rsidP="00CA35D9">
      <w:pPr>
        <w:pStyle w:val="Bullet"/>
        <w:rPr>
          <w:sz w:val="24"/>
          <w:szCs w:val="24"/>
        </w:rPr>
      </w:pPr>
      <w:r w:rsidRPr="00B607E1">
        <w:rPr>
          <w:sz w:val="24"/>
          <w:szCs w:val="24"/>
        </w:rPr>
        <w:t>Serenity Academy</w:t>
      </w:r>
    </w:p>
    <w:p w14:paraId="19489BE5" w14:textId="77777777" w:rsidR="006D2FA3" w:rsidRPr="00B607E1" w:rsidRDefault="006D2FA3" w:rsidP="00CA35D9">
      <w:pPr>
        <w:pStyle w:val="Bullet"/>
        <w:rPr>
          <w:sz w:val="24"/>
          <w:szCs w:val="24"/>
        </w:rPr>
      </w:pPr>
      <w:r w:rsidRPr="00B607E1">
        <w:rPr>
          <w:sz w:val="24"/>
          <w:szCs w:val="24"/>
        </w:rPr>
        <w:t>Inspire Culture</w:t>
      </w:r>
    </w:p>
    <w:p w14:paraId="119162E1" w14:textId="77777777" w:rsidR="006D2FA3" w:rsidRPr="00B607E1" w:rsidRDefault="006D2FA3" w:rsidP="00CA35D9">
      <w:pPr>
        <w:pStyle w:val="Bullet"/>
        <w:rPr>
          <w:sz w:val="24"/>
          <w:szCs w:val="24"/>
        </w:rPr>
      </w:pPr>
      <w:r w:rsidRPr="00B607E1">
        <w:rPr>
          <w:sz w:val="24"/>
          <w:szCs w:val="24"/>
        </w:rPr>
        <w:t>Norfolk &amp; Suffolk Care Support Ltd.</w:t>
      </w:r>
    </w:p>
    <w:p w14:paraId="1B21FA9F" w14:textId="76C1C80A" w:rsidR="00F94126" w:rsidRPr="00B607E1" w:rsidRDefault="00F94126" w:rsidP="002217F7">
      <w:pPr>
        <w:rPr>
          <w:rFonts w:cs="Arial"/>
          <w:sz w:val="24"/>
        </w:rPr>
      </w:pPr>
    </w:p>
    <w:p w14:paraId="31336D27" w14:textId="77777777" w:rsidR="00EA7FD0" w:rsidRPr="003F7BE7" w:rsidRDefault="00EA7FD0" w:rsidP="000B550F">
      <w:pPr>
        <w:pStyle w:val="Heading1"/>
        <w:sectPr w:rsidR="00EA7FD0" w:rsidRPr="003F7BE7" w:rsidSect="00E944D3">
          <w:pgSz w:w="11900" w:h="16840" w:code="9"/>
          <w:pgMar w:top="1134" w:right="1134" w:bottom="1134" w:left="1134" w:header="709" w:footer="709" w:gutter="0"/>
          <w:cols w:space="708"/>
          <w:titlePg/>
          <w:docGrid w:linePitch="360"/>
        </w:sectPr>
      </w:pPr>
      <w:bookmarkStart w:id="69" w:name="_Appendix_3_-"/>
      <w:bookmarkEnd w:id="69"/>
    </w:p>
    <w:p w14:paraId="0E3B92F5" w14:textId="3BC527A1" w:rsidR="0026617A" w:rsidRDefault="007552A2" w:rsidP="002217F7">
      <w:pPr>
        <w:jc w:val="left"/>
        <w:rPr>
          <w:rFonts w:asciiTheme="minorHAnsi" w:eastAsia="Times New Roman" w:hAnsiTheme="minorHAnsi" w:cs="Times New Roman"/>
          <w:b/>
          <w:lang w:eastAsia="en-GB"/>
        </w:rPr>
      </w:pPr>
      <w:r>
        <w:rPr>
          <w:rFonts w:asciiTheme="minorHAnsi" w:eastAsia="Times New Roman" w:hAnsiTheme="minorHAnsi" w:cs="Times New Roman"/>
          <w:b/>
          <w:lang w:eastAsia="en-GB"/>
        </w:rPr>
        <w:lastRenderedPageBreak/>
        <w:t xml:space="preserve">Appendix </w:t>
      </w:r>
      <w:r w:rsidR="004F19EF">
        <w:rPr>
          <w:rFonts w:asciiTheme="minorHAnsi" w:eastAsia="Times New Roman" w:hAnsiTheme="minorHAnsi" w:cs="Times New Roman"/>
          <w:b/>
          <w:lang w:eastAsia="en-GB"/>
        </w:rPr>
        <w:t xml:space="preserve">3 Glossary </w:t>
      </w:r>
    </w:p>
    <w:p w14:paraId="158E0DE1" w14:textId="77777777" w:rsidR="004F19EF" w:rsidRPr="00974F20" w:rsidRDefault="004F19EF" w:rsidP="002217F7">
      <w:pPr>
        <w:jc w:val="left"/>
        <w:rPr>
          <w:rFonts w:asciiTheme="minorHAnsi" w:eastAsia="Times New Roman" w:hAnsiTheme="minorHAnsi" w:cs="Times New Roman"/>
          <w:b/>
          <w:lang w:eastAsia="en-GB"/>
        </w:rPr>
      </w:pPr>
    </w:p>
    <w:tbl>
      <w:tblPr>
        <w:tblStyle w:val="TableGrid7"/>
        <w:tblW w:w="0" w:type="auto"/>
        <w:tblLayout w:type="fixed"/>
        <w:tblLook w:val="04A0" w:firstRow="1" w:lastRow="0" w:firstColumn="1" w:lastColumn="0" w:noHBand="0" w:noVBand="1"/>
      </w:tblPr>
      <w:tblGrid>
        <w:gridCol w:w="2392"/>
        <w:gridCol w:w="12170"/>
      </w:tblGrid>
      <w:tr w:rsidR="0026617A" w:rsidRPr="00974F20" w14:paraId="6F476803" w14:textId="77777777" w:rsidTr="00C35C2E">
        <w:tc>
          <w:tcPr>
            <w:tcW w:w="2392" w:type="dxa"/>
            <w:tcBorders>
              <w:top w:val="double" w:sz="4" w:space="0" w:color="auto"/>
              <w:left w:val="double" w:sz="4" w:space="0" w:color="auto"/>
              <w:bottom w:val="double" w:sz="4" w:space="0" w:color="auto"/>
              <w:right w:val="double" w:sz="4" w:space="0" w:color="auto"/>
            </w:tcBorders>
            <w:vAlign w:val="center"/>
          </w:tcPr>
          <w:p w14:paraId="1C048588" w14:textId="77777777" w:rsidR="0026617A" w:rsidRPr="00974F20" w:rsidRDefault="0026617A" w:rsidP="00C35C2E">
            <w:pPr>
              <w:jc w:val="left"/>
              <w:rPr>
                <w:rFonts w:eastAsia="Times New Roman" w:cs="Arial"/>
                <w:lang w:eastAsia="en-GB"/>
              </w:rPr>
            </w:pPr>
            <w:bookmarkStart w:id="70" w:name="_Appendix_7-_Glossary"/>
            <w:bookmarkEnd w:id="70"/>
            <w:r w:rsidRPr="00974F20">
              <w:rPr>
                <w:rFonts w:eastAsia="Times New Roman" w:cs="Arial"/>
                <w:lang w:eastAsia="en-GB"/>
              </w:rPr>
              <w:t xml:space="preserve">* </w:t>
            </w:r>
            <w:r w:rsidRPr="00974F20">
              <w:rPr>
                <w:rFonts w:eastAsia="Times New Roman" w:cs="Arial"/>
                <w:b/>
                <w:bCs/>
                <w:lang w:eastAsia="en-GB"/>
              </w:rPr>
              <w:t>Recipient</w:t>
            </w:r>
          </w:p>
        </w:tc>
        <w:tc>
          <w:tcPr>
            <w:tcW w:w="12170" w:type="dxa"/>
            <w:tcBorders>
              <w:top w:val="double" w:sz="4" w:space="0" w:color="auto"/>
              <w:left w:val="double" w:sz="4" w:space="0" w:color="auto"/>
              <w:bottom w:val="double" w:sz="4" w:space="0" w:color="auto"/>
              <w:right w:val="double" w:sz="4" w:space="0" w:color="auto"/>
            </w:tcBorders>
            <w:vAlign w:val="center"/>
          </w:tcPr>
          <w:p w14:paraId="748361AF" w14:textId="3F3E856D" w:rsidR="0026617A" w:rsidRPr="00974F20" w:rsidRDefault="0026617A" w:rsidP="00C35C2E">
            <w:pPr>
              <w:jc w:val="left"/>
              <w:rPr>
                <w:rFonts w:eastAsia="Times New Roman" w:cs="Arial"/>
                <w:lang w:eastAsia="en-GB"/>
              </w:rPr>
            </w:pPr>
            <w:r w:rsidRPr="00974F20">
              <w:rPr>
                <w:rFonts w:eastAsia="Times New Roman" w:cs="Arial"/>
                <w:lang w:eastAsia="en-GB"/>
              </w:rPr>
              <w:t>This is the generic term used in the Standard to refer to the person/s who receive the IAG.</w:t>
            </w:r>
            <w:r w:rsidR="00B35623" w:rsidRPr="00974F20">
              <w:rPr>
                <w:rFonts w:eastAsia="Times New Roman" w:cs="Arial"/>
                <w:lang w:eastAsia="en-GB"/>
              </w:rPr>
              <w:t xml:space="preserve"> </w:t>
            </w:r>
            <w:r w:rsidRPr="00974F20">
              <w:rPr>
                <w:rFonts w:eastAsia="Times New Roman" w:cs="Arial"/>
                <w:lang w:eastAsia="en-GB"/>
              </w:rPr>
              <w:t>Organisations may call ‘recipients’ customers, clients, service users, beneficiaries, participants.</w:t>
            </w:r>
            <w:r w:rsidR="00B35623" w:rsidRPr="00974F20">
              <w:rPr>
                <w:rFonts w:eastAsia="Times New Roman" w:cs="Arial"/>
                <w:lang w:eastAsia="en-GB"/>
              </w:rPr>
              <w:t xml:space="preserve"> </w:t>
            </w:r>
            <w:r w:rsidRPr="00974F20">
              <w:rPr>
                <w:rFonts w:eastAsia="Times New Roman" w:cs="Arial"/>
                <w:lang w:eastAsia="en-GB"/>
              </w:rPr>
              <w:t>In some IAG service delivery, the recipient is another organisation.</w:t>
            </w:r>
          </w:p>
        </w:tc>
      </w:tr>
      <w:tr w:rsidR="0026617A" w:rsidRPr="00974F20" w14:paraId="64390131" w14:textId="77777777" w:rsidTr="00C35C2E">
        <w:tc>
          <w:tcPr>
            <w:tcW w:w="2392" w:type="dxa"/>
            <w:tcBorders>
              <w:top w:val="double" w:sz="4" w:space="0" w:color="auto"/>
            </w:tcBorders>
            <w:vAlign w:val="center"/>
          </w:tcPr>
          <w:p w14:paraId="216E3B98" w14:textId="77777777" w:rsidR="0026617A" w:rsidRPr="00974F20" w:rsidRDefault="0026617A" w:rsidP="00C35C2E">
            <w:pPr>
              <w:jc w:val="left"/>
              <w:rPr>
                <w:rFonts w:eastAsia="Times New Roman" w:cs="Arial"/>
                <w:lang w:eastAsia="en-GB"/>
              </w:rPr>
            </w:pPr>
            <w:r w:rsidRPr="00974F20">
              <w:rPr>
                <w:rFonts w:eastAsia="Times New Roman" w:cs="Arial"/>
                <w:lang w:eastAsia="en-GB"/>
              </w:rPr>
              <w:t>Advice</w:t>
            </w:r>
          </w:p>
        </w:tc>
        <w:tc>
          <w:tcPr>
            <w:tcW w:w="12170" w:type="dxa"/>
            <w:tcBorders>
              <w:top w:val="double" w:sz="4" w:space="0" w:color="auto"/>
            </w:tcBorders>
            <w:vAlign w:val="center"/>
          </w:tcPr>
          <w:p w14:paraId="1CF0FD7A" w14:textId="77777777" w:rsidR="0026617A" w:rsidRPr="00974F20" w:rsidRDefault="0026617A" w:rsidP="00C35C2E">
            <w:pPr>
              <w:jc w:val="left"/>
              <w:rPr>
                <w:rFonts w:eastAsia="Times New Roman" w:cs="Arial"/>
                <w:lang w:eastAsia="en-GB"/>
              </w:rPr>
            </w:pPr>
            <w:r w:rsidRPr="00974F20">
              <w:rPr>
                <w:rFonts w:eastAsia="Times New Roman" w:cs="Arial"/>
                <w:lang w:eastAsia="en-GB"/>
              </w:rPr>
              <w:t xml:space="preserve">This is the provision of advice, over and above the provision of information. It may require an explanation of some of the information provided and how to access and use information and identify the need for and location of, follow-on services, including in- depth services such as guidance or casework. </w:t>
            </w:r>
          </w:p>
        </w:tc>
      </w:tr>
      <w:tr w:rsidR="0026617A" w:rsidRPr="00974F20" w14:paraId="4427D06F" w14:textId="77777777" w:rsidTr="00C35C2E">
        <w:tc>
          <w:tcPr>
            <w:tcW w:w="2392" w:type="dxa"/>
            <w:vAlign w:val="center"/>
          </w:tcPr>
          <w:p w14:paraId="79EFA6C3" w14:textId="77777777" w:rsidR="0026617A" w:rsidRPr="00974F20" w:rsidRDefault="0026617A" w:rsidP="00C35C2E">
            <w:pPr>
              <w:jc w:val="left"/>
              <w:rPr>
                <w:rFonts w:eastAsia="Times New Roman" w:cs="Arial"/>
                <w:lang w:eastAsia="en-GB"/>
              </w:rPr>
            </w:pPr>
            <w:r w:rsidRPr="00974F20">
              <w:rPr>
                <w:rFonts w:eastAsia="Times New Roman" w:cs="Arial"/>
                <w:lang w:eastAsia="en-GB"/>
              </w:rPr>
              <w:t xml:space="preserve">Careers Education </w:t>
            </w:r>
          </w:p>
        </w:tc>
        <w:tc>
          <w:tcPr>
            <w:tcW w:w="12170" w:type="dxa"/>
            <w:vAlign w:val="center"/>
          </w:tcPr>
          <w:p w14:paraId="79DD919B" w14:textId="77777777" w:rsidR="0026617A" w:rsidRPr="00974F20" w:rsidRDefault="0026617A" w:rsidP="00C35C2E">
            <w:pPr>
              <w:jc w:val="left"/>
              <w:rPr>
                <w:rFonts w:eastAsia="Times New Roman" w:cs="Arial"/>
                <w:lang w:eastAsia="en-GB"/>
              </w:rPr>
            </w:pPr>
            <w:r w:rsidRPr="00974F20">
              <w:rPr>
                <w:rFonts w:eastAsia="Times New Roman" w:cs="Arial"/>
                <w:lang w:eastAsia="en-GB"/>
              </w:rPr>
              <w:t>Careers education is the delivery of learning about careers as part of the curriculum. Careers education involves a range of planned encounters and experiences, including experiences of the workplace and other forms of work- related learning.</w:t>
            </w:r>
          </w:p>
        </w:tc>
      </w:tr>
      <w:tr w:rsidR="0026617A" w:rsidRPr="00974F20" w14:paraId="43420499" w14:textId="77777777" w:rsidTr="00C35C2E">
        <w:tc>
          <w:tcPr>
            <w:tcW w:w="2392" w:type="dxa"/>
            <w:vAlign w:val="center"/>
          </w:tcPr>
          <w:p w14:paraId="4674062B" w14:textId="77777777" w:rsidR="0026617A" w:rsidRPr="00974F20" w:rsidRDefault="0026617A" w:rsidP="00C35C2E">
            <w:pPr>
              <w:jc w:val="left"/>
              <w:rPr>
                <w:rFonts w:eastAsia="Times New Roman" w:cs="Arial"/>
                <w:lang w:eastAsia="en-GB"/>
              </w:rPr>
            </w:pPr>
            <w:r w:rsidRPr="00974F20">
              <w:rPr>
                <w:rFonts w:eastAsia="Times New Roman" w:cs="Arial"/>
                <w:lang w:eastAsia="en-GB"/>
              </w:rPr>
              <w:t>Continuous Professional Development</w:t>
            </w:r>
          </w:p>
        </w:tc>
        <w:tc>
          <w:tcPr>
            <w:tcW w:w="12170" w:type="dxa"/>
            <w:vAlign w:val="center"/>
          </w:tcPr>
          <w:p w14:paraId="6C1D8346" w14:textId="77777777" w:rsidR="0026617A" w:rsidRPr="00974F20" w:rsidRDefault="0026617A" w:rsidP="00C35C2E">
            <w:pPr>
              <w:jc w:val="left"/>
              <w:rPr>
                <w:rFonts w:eastAsia="Times New Roman" w:cs="Arial"/>
                <w:lang w:eastAsia="en-GB"/>
              </w:rPr>
            </w:pPr>
            <w:r w:rsidRPr="00974F20">
              <w:rPr>
                <w:rFonts w:eastAsia="Times New Roman" w:cs="Arial"/>
                <w:lang w:eastAsia="en-GB"/>
              </w:rPr>
              <w:t>The development activities that staff engage in to ensure they retain and extend their skills and knowledge to support the delivery of their IAG role.</w:t>
            </w:r>
          </w:p>
        </w:tc>
      </w:tr>
      <w:tr w:rsidR="0026617A" w:rsidRPr="00974F20" w14:paraId="0C979144" w14:textId="77777777" w:rsidTr="00C35C2E">
        <w:tc>
          <w:tcPr>
            <w:tcW w:w="2392" w:type="dxa"/>
            <w:vAlign w:val="center"/>
          </w:tcPr>
          <w:p w14:paraId="56B73846" w14:textId="77777777" w:rsidR="0026617A" w:rsidRPr="00974F20" w:rsidRDefault="0026617A" w:rsidP="00C35C2E">
            <w:pPr>
              <w:jc w:val="left"/>
              <w:rPr>
                <w:rFonts w:eastAsia="Times New Roman" w:cs="Arial"/>
                <w:lang w:eastAsia="en-GB"/>
              </w:rPr>
            </w:pPr>
            <w:r w:rsidRPr="00974F20">
              <w:rPr>
                <w:rFonts w:eastAsia="Times New Roman" w:cs="Arial"/>
                <w:lang w:eastAsia="en-GB"/>
              </w:rPr>
              <w:t>Digital</w:t>
            </w:r>
          </w:p>
        </w:tc>
        <w:tc>
          <w:tcPr>
            <w:tcW w:w="12170" w:type="dxa"/>
            <w:vAlign w:val="center"/>
          </w:tcPr>
          <w:p w14:paraId="4DF6B556" w14:textId="77777777" w:rsidR="0026617A" w:rsidRPr="00974F20" w:rsidRDefault="0026617A" w:rsidP="00C35C2E">
            <w:pPr>
              <w:jc w:val="left"/>
              <w:rPr>
                <w:rFonts w:eastAsia="Times New Roman" w:cs="Arial"/>
                <w:lang w:eastAsia="en-GB"/>
              </w:rPr>
            </w:pPr>
            <w:r w:rsidRPr="00974F20">
              <w:rPr>
                <w:rFonts w:eastAsia="Times New Roman" w:cs="Arial"/>
                <w:lang w:eastAsia="en-GB"/>
              </w:rPr>
              <w:t>Digital may include a range of technology such as (not exclusive): AI, websites, video conferencing, chat bots and social media.</w:t>
            </w:r>
          </w:p>
        </w:tc>
      </w:tr>
      <w:tr w:rsidR="0026617A" w:rsidRPr="00974F20" w14:paraId="23424DEC" w14:textId="77777777" w:rsidTr="00C35C2E">
        <w:tc>
          <w:tcPr>
            <w:tcW w:w="2392" w:type="dxa"/>
            <w:vAlign w:val="center"/>
          </w:tcPr>
          <w:p w14:paraId="2DAC9C32" w14:textId="77777777" w:rsidR="0026617A" w:rsidRPr="00974F20" w:rsidRDefault="0026617A" w:rsidP="00C35C2E">
            <w:pPr>
              <w:jc w:val="left"/>
              <w:rPr>
                <w:rFonts w:eastAsia="Times New Roman" w:cs="Arial"/>
                <w:lang w:eastAsia="en-GB"/>
              </w:rPr>
            </w:pPr>
            <w:r w:rsidRPr="00974F20">
              <w:rPr>
                <w:rFonts w:eastAsia="Times New Roman" w:cs="Arial"/>
                <w:lang w:eastAsia="en-GB"/>
              </w:rPr>
              <w:t>Distance travelled</w:t>
            </w:r>
          </w:p>
        </w:tc>
        <w:tc>
          <w:tcPr>
            <w:tcW w:w="12170" w:type="dxa"/>
            <w:vAlign w:val="center"/>
          </w:tcPr>
          <w:p w14:paraId="51F0F05F" w14:textId="77777777" w:rsidR="0026617A" w:rsidRPr="00974F20" w:rsidRDefault="0026617A" w:rsidP="00C35C2E">
            <w:pPr>
              <w:jc w:val="left"/>
              <w:rPr>
                <w:rFonts w:eastAsia="Times New Roman" w:cs="Arial"/>
                <w:lang w:eastAsia="en-GB"/>
              </w:rPr>
            </w:pPr>
            <w:r w:rsidRPr="00974F20">
              <w:rPr>
                <w:rFonts w:eastAsia="Times New Roman" w:cs="Arial"/>
                <w:lang w:eastAsia="en-GB"/>
              </w:rPr>
              <w:t>These are tools and techniques that can be used to demonstrate the progression of recipients in areas such as skills or personal development such as confidence, aspiration.</w:t>
            </w:r>
          </w:p>
        </w:tc>
      </w:tr>
      <w:tr w:rsidR="0026617A" w:rsidRPr="00974F20" w14:paraId="4EB88FD6" w14:textId="77777777" w:rsidTr="00C35C2E">
        <w:tc>
          <w:tcPr>
            <w:tcW w:w="2392" w:type="dxa"/>
            <w:vAlign w:val="center"/>
          </w:tcPr>
          <w:p w14:paraId="41B40F4E" w14:textId="77777777" w:rsidR="0026617A" w:rsidRPr="00974F20" w:rsidRDefault="0026617A" w:rsidP="00C35C2E">
            <w:pPr>
              <w:jc w:val="left"/>
              <w:rPr>
                <w:rFonts w:eastAsia="Times New Roman" w:cs="Arial"/>
                <w:lang w:eastAsia="en-GB"/>
              </w:rPr>
            </w:pPr>
            <w:r w:rsidRPr="00974F20">
              <w:rPr>
                <w:rFonts w:eastAsia="Times New Roman" w:cs="Arial"/>
                <w:lang w:eastAsia="en-GB"/>
              </w:rPr>
              <w:t>Equity</w:t>
            </w:r>
          </w:p>
        </w:tc>
        <w:tc>
          <w:tcPr>
            <w:tcW w:w="12170" w:type="dxa"/>
            <w:vAlign w:val="center"/>
          </w:tcPr>
          <w:p w14:paraId="33BC027F" w14:textId="77777777" w:rsidR="0026617A" w:rsidRPr="00974F20" w:rsidRDefault="0026617A" w:rsidP="00C35C2E">
            <w:pPr>
              <w:jc w:val="left"/>
              <w:rPr>
                <w:rFonts w:eastAsia="Times New Roman" w:cs="Arial"/>
                <w:lang w:eastAsia="en-GB"/>
              </w:rPr>
            </w:pPr>
            <w:r w:rsidRPr="00974F20">
              <w:rPr>
                <w:rFonts w:eastAsia="Times New Roman" w:cs="Arial"/>
                <w:lang w:eastAsia="en-GB"/>
              </w:rPr>
              <w:t xml:space="preserve">Equality and equity refer to similar but slightly different concepts (although are often used interchangeably). Equality generally refers to equal opportunity and the same levels of support for all segments of society. Equity goes a step further and refers </w:t>
            </w:r>
            <w:bookmarkStart w:id="71" w:name="_Hlk116112850"/>
            <w:r w:rsidRPr="00974F20">
              <w:rPr>
                <w:rFonts w:eastAsia="Times New Roman" w:cs="Arial"/>
                <w:lang w:eastAsia="en-GB"/>
              </w:rPr>
              <w:t>offering varying levels of support depending upon need to achieve greater fairness of outcomes.</w:t>
            </w:r>
            <w:bookmarkEnd w:id="71"/>
          </w:p>
        </w:tc>
      </w:tr>
      <w:tr w:rsidR="0026617A" w:rsidRPr="00974F20" w14:paraId="4A66D6A2" w14:textId="77777777" w:rsidTr="00C35C2E">
        <w:tc>
          <w:tcPr>
            <w:tcW w:w="2392" w:type="dxa"/>
            <w:vAlign w:val="center"/>
          </w:tcPr>
          <w:p w14:paraId="1972EC72" w14:textId="77777777" w:rsidR="0026617A" w:rsidRPr="00974F20" w:rsidRDefault="0026617A" w:rsidP="00C35C2E">
            <w:pPr>
              <w:jc w:val="left"/>
              <w:rPr>
                <w:rFonts w:eastAsia="Times New Roman" w:cs="Arial"/>
                <w:lang w:eastAsia="en-GB"/>
              </w:rPr>
            </w:pPr>
            <w:r w:rsidRPr="00974F20">
              <w:rPr>
                <w:rFonts w:eastAsia="Times New Roman" w:cs="Arial"/>
                <w:lang w:eastAsia="en-GB"/>
              </w:rPr>
              <w:t>EDI</w:t>
            </w:r>
          </w:p>
        </w:tc>
        <w:tc>
          <w:tcPr>
            <w:tcW w:w="12170" w:type="dxa"/>
            <w:vAlign w:val="center"/>
          </w:tcPr>
          <w:p w14:paraId="68E593E0" w14:textId="6E1DBFF0" w:rsidR="0026617A" w:rsidRPr="00974F20" w:rsidRDefault="0026617A" w:rsidP="00C35C2E">
            <w:pPr>
              <w:jc w:val="left"/>
              <w:rPr>
                <w:rFonts w:eastAsia="Times New Roman" w:cs="Arial"/>
                <w:lang w:eastAsia="en-GB"/>
              </w:rPr>
            </w:pPr>
            <w:r w:rsidRPr="00974F20">
              <w:rPr>
                <w:rFonts w:eastAsia="Times New Roman" w:cs="Arial"/>
                <w:lang w:eastAsia="en-GB"/>
              </w:rPr>
              <w:t xml:space="preserve">Equity, </w:t>
            </w:r>
            <w:proofErr w:type="gramStart"/>
            <w:r w:rsidRPr="00974F20">
              <w:rPr>
                <w:rFonts w:eastAsia="Times New Roman" w:cs="Arial"/>
                <w:lang w:eastAsia="en-GB"/>
              </w:rPr>
              <w:t>Diversity</w:t>
            </w:r>
            <w:proofErr w:type="gramEnd"/>
            <w:r w:rsidRPr="00974F20">
              <w:rPr>
                <w:rFonts w:eastAsia="Times New Roman" w:cs="Arial"/>
                <w:lang w:eastAsia="en-GB"/>
              </w:rPr>
              <w:t xml:space="preserve"> and Inclusion.</w:t>
            </w:r>
            <w:r w:rsidR="00B35623" w:rsidRPr="00974F20">
              <w:rPr>
                <w:rFonts w:eastAsia="Times New Roman" w:cs="Arial"/>
                <w:lang w:eastAsia="en-GB"/>
              </w:rPr>
              <w:t xml:space="preserve"> </w:t>
            </w:r>
            <w:r w:rsidRPr="00974F20">
              <w:rPr>
                <w:rFonts w:eastAsia="Times New Roman" w:cs="Arial"/>
                <w:lang w:eastAsia="en-GB"/>
              </w:rPr>
              <w:t>Some organisations may use the term Equality and Diversity.</w:t>
            </w:r>
            <w:r w:rsidR="00B35623" w:rsidRPr="00974F20">
              <w:rPr>
                <w:rFonts w:eastAsia="Times New Roman" w:cs="Arial"/>
                <w:lang w:eastAsia="en-GB"/>
              </w:rPr>
              <w:t xml:space="preserve"> </w:t>
            </w:r>
            <w:r w:rsidRPr="00974F20">
              <w:rPr>
                <w:rFonts w:eastAsia="Times New Roman" w:cs="Arial"/>
                <w:lang w:eastAsia="en-GB"/>
              </w:rPr>
              <w:t>Together these terms are about ensuring that all people connected with or could be connected with the organisation are treated in a way that they feel a sense of belonging.</w:t>
            </w:r>
            <w:r w:rsidR="00B35623" w:rsidRPr="00974F20">
              <w:rPr>
                <w:rFonts w:eastAsia="Times New Roman" w:cs="Arial"/>
                <w:lang w:eastAsia="en-GB"/>
              </w:rPr>
              <w:t xml:space="preserve"> </w:t>
            </w:r>
            <w:r w:rsidRPr="00974F20">
              <w:rPr>
                <w:rFonts w:eastAsia="Times New Roman" w:cs="Arial"/>
                <w:lang w:eastAsia="en-GB"/>
              </w:rPr>
              <w:t>This will be demonstrated in a number of ways but will include knowing and addressing each individual's needs and making relevant adjustments.</w:t>
            </w:r>
          </w:p>
        </w:tc>
      </w:tr>
      <w:tr w:rsidR="0026617A" w:rsidRPr="00974F20" w14:paraId="3855CAA3" w14:textId="77777777" w:rsidTr="00C35C2E">
        <w:tc>
          <w:tcPr>
            <w:tcW w:w="2392" w:type="dxa"/>
            <w:vAlign w:val="center"/>
          </w:tcPr>
          <w:p w14:paraId="6644F205" w14:textId="77777777" w:rsidR="0026617A" w:rsidRPr="00974F20" w:rsidRDefault="0026617A" w:rsidP="00C35C2E">
            <w:pPr>
              <w:jc w:val="left"/>
              <w:rPr>
                <w:rFonts w:eastAsia="Times New Roman" w:cs="Arial"/>
                <w:lang w:eastAsia="en-GB"/>
              </w:rPr>
            </w:pPr>
            <w:r w:rsidRPr="00974F20">
              <w:rPr>
                <w:rFonts w:eastAsia="Times New Roman" w:cs="Arial"/>
                <w:lang w:eastAsia="en-GB"/>
              </w:rPr>
              <w:t>Evidence base</w:t>
            </w:r>
          </w:p>
        </w:tc>
        <w:tc>
          <w:tcPr>
            <w:tcW w:w="12170" w:type="dxa"/>
            <w:vAlign w:val="center"/>
          </w:tcPr>
          <w:p w14:paraId="7E059C9A" w14:textId="2B6C5168" w:rsidR="0026617A" w:rsidRPr="00974F20" w:rsidRDefault="0026617A" w:rsidP="00C35C2E">
            <w:pPr>
              <w:jc w:val="left"/>
              <w:rPr>
                <w:rFonts w:eastAsia="Times New Roman" w:cs="Arial"/>
                <w:lang w:eastAsia="en-GB"/>
              </w:rPr>
            </w:pPr>
            <w:r w:rsidRPr="00974F20">
              <w:rPr>
                <w:rFonts w:eastAsia="Times New Roman" w:cs="Arial"/>
                <w:lang w:eastAsia="en-GB"/>
              </w:rPr>
              <w:t>In the context of Element 7, this is about capturing findings from a range of sources, for example: feedback, observations of practice, review of action plans, self-assessment reviews etc.</w:t>
            </w:r>
            <w:r w:rsidR="00B35623" w:rsidRPr="00974F20">
              <w:rPr>
                <w:rFonts w:eastAsia="Times New Roman" w:cs="Arial"/>
                <w:lang w:eastAsia="en-GB"/>
              </w:rPr>
              <w:t xml:space="preserve"> </w:t>
            </w:r>
            <w:r w:rsidRPr="00974F20">
              <w:rPr>
                <w:rFonts w:eastAsia="Times New Roman" w:cs="Arial"/>
                <w:lang w:eastAsia="en-GB"/>
              </w:rPr>
              <w:t>The findings from these together will enable developments to your IAG.</w:t>
            </w:r>
            <w:r w:rsidR="00B35623" w:rsidRPr="00974F20">
              <w:rPr>
                <w:rFonts w:eastAsia="Times New Roman" w:cs="Arial"/>
                <w:lang w:eastAsia="en-GB"/>
              </w:rPr>
              <w:t xml:space="preserve"> </w:t>
            </w:r>
          </w:p>
        </w:tc>
      </w:tr>
      <w:tr w:rsidR="0026617A" w:rsidRPr="00974F20" w14:paraId="514BF29F" w14:textId="77777777" w:rsidTr="00C35C2E">
        <w:tc>
          <w:tcPr>
            <w:tcW w:w="2392" w:type="dxa"/>
            <w:vAlign w:val="center"/>
          </w:tcPr>
          <w:p w14:paraId="4E4BB172" w14:textId="77777777" w:rsidR="0026617A" w:rsidRPr="00974F20" w:rsidRDefault="0026617A" w:rsidP="00C35C2E">
            <w:pPr>
              <w:jc w:val="left"/>
              <w:rPr>
                <w:rFonts w:eastAsia="Times New Roman" w:cs="Arial"/>
                <w:lang w:eastAsia="en-GB"/>
              </w:rPr>
            </w:pPr>
            <w:r w:rsidRPr="00974F20">
              <w:rPr>
                <w:rFonts w:eastAsia="Times New Roman" w:cs="Arial"/>
                <w:lang w:eastAsia="en-GB"/>
              </w:rPr>
              <w:t>IAG</w:t>
            </w:r>
          </w:p>
        </w:tc>
        <w:tc>
          <w:tcPr>
            <w:tcW w:w="12170" w:type="dxa"/>
            <w:vAlign w:val="center"/>
          </w:tcPr>
          <w:p w14:paraId="48E34146" w14:textId="77777777" w:rsidR="0026617A" w:rsidRPr="00974F20" w:rsidRDefault="0026617A" w:rsidP="00C35C2E">
            <w:pPr>
              <w:jc w:val="left"/>
              <w:rPr>
                <w:rFonts w:eastAsia="Times New Roman" w:cs="Arial"/>
                <w:lang w:eastAsia="en-GB"/>
              </w:rPr>
            </w:pPr>
            <w:r w:rsidRPr="00974F20">
              <w:rPr>
                <w:rFonts w:eastAsia="Times New Roman" w:cs="Arial"/>
                <w:lang w:eastAsia="en-GB"/>
              </w:rPr>
              <w:t>Information, Advice and Guidance.</w:t>
            </w:r>
          </w:p>
        </w:tc>
      </w:tr>
      <w:tr w:rsidR="0026617A" w:rsidRPr="00974F20" w14:paraId="0BCF047E" w14:textId="77777777" w:rsidTr="00C35C2E">
        <w:tc>
          <w:tcPr>
            <w:tcW w:w="2392" w:type="dxa"/>
            <w:vAlign w:val="center"/>
          </w:tcPr>
          <w:p w14:paraId="69A78F95" w14:textId="77777777" w:rsidR="0026617A" w:rsidRPr="00974F20" w:rsidRDefault="0026617A" w:rsidP="00C35C2E">
            <w:pPr>
              <w:jc w:val="left"/>
              <w:rPr>
                <w:rFonts w:eastAsia="Times New Roman" w:cs="Arial"/>
                <w:lang w:eastAsia="en-GB"/>
              </w:rPr>
            </w:pPr>
            <w:r w:rsidRPr="00974F20">
              <w:rPr>
                <w:rFonts w:eastAsia="Times New Roman" w:cs="Arial"/>
                <w:lang w:eastAsia="en-GB"/>
              </w:rPr>
              <w:t>Impact</w:t>
            </w:r>
          </w:p>
        </w:tc>
        <w:tc>
          <w:tcPr>
            <w:tcW w:w="12170" w:type="dxa"/>
            <w:vAlign w:val="center"/>
          </w:tcPr>
          <w:p w14:paraId="5C3C2E74" w14:textId="294A8E46" w:rsidR="0026617A" w:rsidRPr="00974F20" w:rsidRDefault="0026617A" w:rsidP="00C35C2E">
            <w:pPr>
              <w:jc w:val="left"/>
              <w:rPr>
                <w:rFonts w:eastAsia="Times New Roman" w:cs="Arial"/>
                <w:lang w:eastAsia="en-GB"/>
              </w:rPr>
            </w:pPr>
            <w:r w:rsidRPr="00974F20">
              <w:rPr>
                <w:rFonts w:eastAsia="Times New Roman" w:cs="Arial"/>
                <w:lang w:eastAsia="en-GB"/>
              </w:rPr>
              <w:t>The overall benefit gained from delivering the IAG.</w:t>
            </w:r>
            <w:r w:rsidR="00B35623" w:rsidRPr="00974F20">
              <w:rPr>
                <w:rFonts w:eastAsia="Times New Roman" w:cs="Arial"/>
                <w:lang w:eastAsia="en-GB"/>
              </w:rPr>
              <w:t xml:space="preserve"> </w:t>
            </w:r>
            <w:r w:rsidRPr="00974F20">
              <w:rPr>
                <w:rFonts w:eastAsia="Times New Roman" w:cs="Arial"/>
                <w:lang w:eastAsia="en-GB"/>
              </w:rPr>
              <w:t>These will include a measurement, for example a percentage, or increase/decrease.</w:t>
            </w:r>
            <w:r w:rsidR="00B35623" w:rsidRPr="00974F20">
              <w:rPr>
                <w:rFonts w:eastAsia="Times New Roman" w:cs="Arial"/>
                <w:lang w:eastAsia="en-GB"/>
              </w:rPr>
              <w:t xml:space="preserve"> </w:t>
            </w:r>
            <w:r w:rsidRPr="00974F20">
              <w:rPr>
                <w:rFonts w:eastAsia="Times New Roman" w:cs="Arial"/>
                <w:lang w:eastAsia="en-GB"/>
              </w:rPr>
              <w:t xml:space="preserve">Impact may be measured at cohort, </w:t>
            </w:r>
            <w:proofErr w:type="gramStart"/>
            <w:r w:rsidRPr="00974F20">
              <w:rPr>
                <w:rFonts w:eastAsia="Times New Roman" w:cs="Arial"/>
                <w:lang w:eastAsia="en-GB"/>
              </w:rPr>
              <w:t>service</w:t>
            </w:r>
            <w:proofErr w:type="gramEnd"/>
            <w:r w:rsidRPr="00974F20">
              <w:rPr>
                <w:rFonts w:eastAsia="Times New Roman" w:cs="Arial"/>
                <w:lang w:eastAsia="en-GB"/>
              </w:rPr>
              <w:t xml:space="preserve"> or organisation level.</w:t>
            </w:r>
          </w:p>
        </w:tc>
      </w:tr>
      <w:tr w:rsidR="0026617A" w:rsidRPr="00974F20" w14:paraId="22C66F97" w14:textId="77777777" w:rsidTr="00C35C2E">
        <w:tc>
          <w:tcPr>
            <w:tcW w:w="2392" w:type="dxa"/>
            <w:vAlign w:val="center"/>
          </w:tcPr>
          <w:p w14:paraId="1FEBFBEA" w14:textId="77777777" w:rsidR="0026617A" w:rsidRPr="00974F20" w:rsidRDefault="0026617A" w:rsidP="00C35C2E">
            <w:pPr>
              <w:jc w:val="left"/>
              <w:rPr>
                <w:rFonts w:eastAsia="Times New Roman" w:cs="Arial"/>
                <w:lang w:eastAsia="en-GB"/>
              </w:rPr>
            </w:pPr>
            <w:r w:rsidRPr="00974F20">
              <w:rPr>
                <w:rFonts w:eastAsia="Times New Roman" w:cs="Arial"/>
                <w:lang w:eastAsia="en-GB"/>
              </w:rPr>
              <w:t>Information</w:t>
            </w:r>
          </w:p>
        </w:tc>
        <w:tc>
          <w:tcPr>
            <w:tcW w:w="12170" w:type="dxa"/>
            <w:vAlign w:val="center"/>
          </w:tcPr>
          <w:p w14:paraId="3B2C04F1" w14:textId="2C40EB2C" w:rsidR="0026617A" w:rsidRPr="00974F20" w:rsidRDefault="0026617A" w:rsidP="00C35C2E">
            <w:pPr>
              <w:jc w:val="left"/>
              <w:rPr>
                <w:rFonts w:eastAsia="Times New Roman" w:cs="Arial"/>
                <w:lang w:eastAsia="en-GB"/>
              </w:rPr>
            </w:pPr>
            <w:r w:rsidRPr="00974F20">
              <w:rPr>
                <w:rFonts w:eastAsia="Times New Roman" w:cs="Arial"/>
                <w:lang w:eastAsia="en-GB"/>
              </w:rPr>
              <w:t>This is the provision of information without any discussion about the relative merits of each of the options.</w:t>
            </w:r>
            <w:r w:rsidR="00B35623" w:rsidRPr="00974F20">
              <w:rPr>
                <w:rFonts w:eastAsia="Times New Roman" w:cs="Arial"/>
                <w:lang w:eastAsia="en-GB"/>
              </w:rPr>
              <w:t xml:space="preserve"> </w:t>
            </w:r>
            <w:r w:rsidRPr="00974F20">
              <w:rPr>
                <w:rFonts w:eastAsia="Times New Roman" w:cs="Arial"/>
                <w:lang w:eastAsia="en-GB"/>
              </w:rPr>
              <w:t>It can be provided through printed materials (such as leaflets), audio-visual materials, computer software and / or verbal information to the service user on a face-to-face basis or by another channel such as through digital means.</w:t>
            </w:r>
          </w:p>
        </w:tc>
      </w:tr>
      <w:tr w:rsidR="0026617A" w:rsidRPr="00974F20" w14:paraId="7410FFE8" w14:textId="77777777" w:rsidTr="00C35C2E">
        <w:tc>
          <w:tcPr>
            <w:tcW w:w="2392" w:type="dxa"/>
            <w:vAlign w:val="center"/>
          </w:tcPr>
          <w:p w14:paraId="31B3A5C2" w14:textId="77777777" w:rsidR="0026617A" w:rsidRPr="00974F20" w:rsidRDefault="0026617A" w:rsidP="00C35C2E">
            <w:pPr>
              <w:jc w:val="left"/>
              <w:rPr>
                <w:rFonts w:eastAsia="Times New Roman" w:cs="Arial"/>
                <w:lang w:eastAsia="en-GB"/>
              </w:rPr>
            </w:pPr>
            <w:r w:rsidRPr="00974F20">
              <w:rPr>
                <w:rFonts w:eastAsia="Times New Roman" w:cs="Arial"/>
                <w:lang w:eastAsia="en-GB"/>
              </w:rPr>
              <w:t>Guidance</w:t>
            </w:r>
          </w:p>
        </w:tc>
        <w:tc>
          <w:tcPr>
            <w:tcW w:w="12170" w:type="dxa"/>
            <w:vAlign w:val="center"/>
          </w:tcPr>
          <w:p w14:paraId="53EADC44" w14:textId="77777777" w:rsidR="0026617A" w:rsidRPr="00974F20" w:rsidRDefault="0026617A" w:rsidP="00C35C2E">
            <w:pPr>
              <w:jc w:val="left"/>
              <w:rPr>
                <w:rFonts w:eastAsia="Times New Roman" w:cs="Arial"/>
                <w:lang w:eastAsia="en-GB"/>
              </w:rPr>
            </w:pPr>
            <w:r w:rsidRPr="00974F20">
              <w:rPr>
                <w:rFonts w:eastAsia="Times New Roman" w:cs="Arial"/>
                <w:lang w:eastAsia="en-GB"/>
              </w:rPr>
              <w:t>This is an in-depth interview or other activity conducted by a suitably trained adviser, which helps clients to explore a range of options, to relate information to their own needs and circumstances and to make decisions</w:t>
            </w:r>
          </w:p>
        </w:tc>
      </w:tr>
      <w:tr w:rsidR="0026617A" w:rsidRPr="00974F20" w14:paraId="2FF5AD88" w14:textId="77777777" w:rsidTr="00C35C2E">
        <w:tc>
          <w:tcPr>
            <w:tcW w:w="2392" w:type="dxa"/>
            <w:vAlign w:val="center"/>
          </w:tcPr>
          <w:p w14:paraId="4B365400" w14:textId="77777777" w:rsidR="0026617A" w:rsidRPr="00974F20" w:rsidRDefault="0026617A" w:rsidP="00C35C2E">
            <w:pPr>
              <w:jc w:val="left"/>
              <w:rPr>
                <w:rFonts w:eastAsia="Times New Roman" w:cs="Arial"/>
                <w:lang w:eastAsia="en-GB"/>
              </w:rPr>
            </w:pPr>
            <w:r w:rsidRPr="00974F20">
              <w:rPr>
                <w:rFonts w:eastAsia="Times New Roman" w:cs="Arial"/>
                <w:lang w:eastAsia="en-GB"/>
              </w:rPr>
              <w:lastRenderedPageBreak/>
              <w:t>Outcomes</w:t>
            </w:r>
          </w:p>
        </w:tc>
        <w:tc>
          <w:tcPr>
            <w:tcW w:w="12170" w:type="dxa"/>
            <w:vAlign w:val="center"/>
          </w:tcPr>
          <w:p w14:paraId="7E41736A" w14:textId="518AC55C" w:rsidR="0026617A" w:rsidRPr="00974F20" w:rsidRDefault="0026617A" w:rsidP="00C35C2E">
            <w:pPr>
              <w:jc w:val="left"/>
              <w:rPr>
                <w:rFonts w:eastAsia="Times New Roman" w:cs="Arial"/>
                <w:lang w:eastAsia="en-GB"/>
              </w:rPr>
            </w:pPr>
            <w:r w:rsidRPr="00974F20">
              <w:rPr>
                <w:rFonts w:eastAsia="Times New Roman" w:cs="Arial"/>
                <w:lang w:eastAsia="en-GB"/>
              </w:rPr>
              <w:t>The difference the IAG makes/has made to those receiving it.</w:t>
            </w:r>
            <w:r w:rsidR="00B35623" w:rsidRPr="00974F20">
              <w:rPr>
                <w:rFonts w:eastAsia="Times New Roman" w:cs="Arial"/>
                <w:lang w:eastAsia="en-GB"/>
              </w:rPr>
              <w:t xml:space="preserve"> </w:t>
            </w:r>
            <w:r w:rsidRPr="00974F20">
              <w:rPr>
                <w:rFonts w:eastAsia="Times New Roman" w:cs="Arial"/>
                <w:lang w:eastAsia="en-GB"/>
              </w:rPr>
              <w:t>This may include by soft and hard outcomes specific to the individual.</w:t>
            </w:r>
          </w:p>
        </w:tc>
      </w:tr>
      <w:tr w:rsidR="0026617A" w:rsidRPr="00974F20" w14:paraId="20528A6E" w14:textId="77777777" w:rsidTr="00C35C2E">
        <w:tc>
          <w:tcPr>
            <w:tcW w:w="2392" w:type="dxa"/>
            <w:vAlign w:val="center"/>
          </w:tcPr>
          <w:p w14:paraId="7F0F1657" w14:textId="77777777" w:rsidR="0026617A" w:rsidRPr="00974F20" w:rsidRDefault="0026617A" w:rsidP="00C35C2E">
            <w:pPr>
              <w:jc w:val="left"/>
              <w:rPr>
                <w:rFonts w:eastAsia="Times New Roman" w:cs="Arial"/>
                <w:lang w:eastAsia="en-GB"/>
              </w:rPr>
            </w:pPr>
            <w:r w:rsidRPr="00974F20">
              <w:rPr>
                <w:rFonts w:eastAsia="Times New Roman" w:cs="Arial"/>
                <w:lang w:eastAsia="en-GB"/>
              </w:rPr>
              <w:t>Personal circumstances</w:t>
            </w:r>
          </w:p>
        </w:tc>
        <w:tc>
          <w:tcPr>
            <w:tcW w:w="12170" w:type="dxa"/>
            <w:vAlign w:val="center"/>
          </w:tcPr>
          <w:p w14:paraId="00D902F1" w14:textId="77777777" w:rsidR="0026617A" w:rsidRPr="00974F20" w:rsidRDefault="0026617A" w:rsidP="00C35C2E">
            <w:pPr>
              <w:jc w:val="left"/>
              <w:rPr>
                <w:rFonts w:eastAsia="Times New Roman" w:cs="Arial"/>
                <w:lang w:eastAsia="en-GB"/>
              </w:rPr>
            </w:pPr>
            <w:r w:rsidRPr="00974F20">
              <w:rPr>
                <w:rFonts w:eastAsia="Times New Roman" w:cs="Arial"/>
                <w:lang w:eastAsia="en-GB"/>
              </w:rPr>
              <w:t>Depending upon the nature of the IAG being provided, this may cover employability, health, wellbeing, finances, confidence</w:t>
            </w:r>
          </w:p>
        </w:tc>
      </w:tr>
      <w:tr w:rsidR="0026617A" w:rsidRPr="00974F20" w14:paraId="46832543" w14:textId="77777777" w:rsidTr="00C35C2E">
        <w:tc>
          <w:tcPr>
            <w:tcW w:w="2392" w:type="dxa"/>
            <w:vAlign w:val="center"/>
          </w:tcPr>
          <w:p w14:paraId="19955E41" w14:textId="77777777" w:rsidR="0026617A" w:rsidRPr="00974F20" w:rsidRDefault="0026617A" w:rsidP="00C35C2E">
            <w:pPr>
              <w:jc w:val="left"/>
              <w:rPr>
                <w:rFonts w:eastAsia="Times New Roman" w:cs="Arial"/>
                <w:lang w:eastAsia="en-GB"/>
              </w:rPr>
            </w:pPr>
            <w:r w:rsidRPr="00974F20">
              <w:rPr>
                <w:rFonts w:eastAsia="Times New Roman" w:cs="Arial"/>
                <w:lang w:eastAsia="en-GB"/>
              </w:rPr>
              <w:t>Progression</w:t>
            </w:r>
          </w:p>
        </w:tc>
        <w:tc>
          <w:tcPr>
            <w:tcW w:w="12170" w:type="dxa"/>
            <w:vAlign w:val="center"/>
          </w:tcPr>
          <w:p w14:paraId="124D9CC0" w14:textId="77777777" w:rsidR="0026617A" w:rsidRPr="00974F20" w:rsidRDefault="0026617A" w:rsidP="00C35C2E">
            <w:pPr>
              <w:jc w:val="left"/>
              <w:rPr>
                <w:rFonts w:eastAsia="Times New Roman" w:cs="Arial"/>
                <w:lang w:eastAsia="en-GB"/>
              </w:rPr>
            </w:pPr>
            <w:r w:rsidRPr="00974F20">
              <w:rPr>
                <w:rFonts w:eastAsia="Times New Roman" w:cs="Arial"/>
                <w:lang w:eastAsia="en-GB"/>
              </w:rPr>
              <w:t>Progression is about moving to a different position, for example progression into the IAG service, progression within it and/or progression beyond.</w:t>
            </w:r>
          </w:p>
        </w:tc>
      </w:tr>
      <w:tr w:rsidR="0026617A" w:rsidRPr="00974F20" w14:paraId="5447DDC5" w14:textId="77777777" w:rsidTr="00C35C2E">
        <w:tc>
          <w:tcPr>
            <w:tcW w:w="2392" w:type="dxa"/>
            <w:vAlign w:val="center"/>
          </w:tcPr>
          <w:p w14:paraId="303963AE" w14:textId="77777777" w:rsidR="0026617A" w:rsidRPr="00974F20" w:rsidRDefault="0026617A" w:rsidP="00C35C2E">
            <w:pPr>
              <w:jc w:val="left"/>
              <w:rPr>
                <w:rFonts w:eastAsia="Times New Roman" w:cs="Arial"/>
                <w:lang w:eastAsia="en-GB"/>
              </w:rPr>
            </w:pPr>
            <w:r w:rsidRPr="00974F20">
              <w:rPr>
                <w:rFonts w:eastAsia="Times New Roman" w:cs="Arial"/>
                <w:lang w:eastAsia="en-GB"/>
              </w:rPr>
              <w:t>Promotion</w:t>
            </w:r>
          </w:p>
        </w:tc>
        <w:tc>
          <w:tcPr>
            <w:tcW w:w="12170" w:type="dxa"/>
            <w:vAlign w:val="center"/>
          </w:tcPr>
          <w:p w14:paraId="24B1CE66" w14:textId="53C2341C" w:rsidR="0026617A" w:rsidRPr="00974F20" w:rsidRDefault="0026617A" w:rsidP="00C35C2E">
            <w:pPr>
              <w:jc w:val="left"/>
              <w:rPr>
                <w:rFonts w:eastAsia="Times New Roman" w:cs="Arial"/>
                <w:lang w:eastAsia="en-GB"/>
              </w:rPr>
            </w:pPr>
            <w:r w:rsidRPr="00974F20">
              <w:rPr>
                <w:rFonts w:eastAsia="Times New Roman" w:cs="Arial"/>
                <w:lang w:eastAsia="en-GB"/>
              </w:rPr>
              <w:t>Activities will be in place that enable potential recipients to find out about the IAG.</w:t>
            </w:r>
            <w:r w:rsidR="00B35623" w:rsidRPr="00974F20">
              <w:rPr>
                <w:rFonts w:eastAsia="Times New Roman" w:cs="Arial"/>
                <w:lang w:eastAsia="en-GB"/>
              </w:rPr>
              <w:t xml:space="preserve"> </w:t>
            </w:r>
            <w:r w:rsidRPr="00974F20">
              <w:rPr>
                <w:rFonts w:eastAsia="Times New Roman" w:cs="Arial"/>
                <w:lang w:eastAsia="en-GB"/>
              </w:rPr>
              <w:t>Access may be through referral, self-referral, outreach, social media, advertising etc.</w:t>
            </w:r>
          </w:p>
        </w:tc>
      </w:tr>
      <w:tr w:rsidR="0026617A" w:rsidRPr="00974F20" w14:paraId="6CDD96AB" w14:textId="77777777" w:rsidTr="00C35C2E">
        <w:tc>
          <w:tcPr>
            <w:tcW w:w="2392" w:type="dxa"/>
            <w:vAlign w:val="center"/>
          </w:tcPr>
          <w:p w14:paraId="6413A9AD" w14:textId="77777777" w:rsidR="0026617A" w:rsidRPr="00974F20" w:rsidRDefault="0026617A" w:rsidP="00C35C2E">
            <w:pPr>
              <w:jc w:val="left"/>
              <w:rPr>
                <w:rFonts w:eastAsia="Times New Roman" w:cs="Arial"/>
                <w:lang w:eastAsia="en-GB"/>
              </w:rPr>
            </w:pPr>
            <w:r w:rsidRPr="00974F20">
              <w:rPr>
                <w:rFonts w:eastAsia="Times New Roman" w:cs="Arial"/>
                <w:lang w:eastAsia="en-GB"/>
              </w:rPr>
              <w:t>Purpose</w:t>
            </w:r>
          </w:p>
        </w:tc>
        <w:tc>
          <w:tcPr>
            <w:tcW w:w="12170" w:type="dxa"/>
            <w:vAlign w:val="center"/>
          </w:tcPr>
          <w:p w14:paraId="61614D41" w14:textId="6A5538B2" w:rsidR="0026617A" w:rsidRPr="00974F20" w:rsidRDefault="0026617A" w:rsidP="00C35C2E">
            <w:pPr>
              <w:jc w:val="left"/>
              <w:rPr>
                <w:rFonts w:eastAsia="Times New Roman" w:cs="Arial"/>
                <w:lang w:eastAsia="en-GB"/>
              </w:rPr>
            </w:pPr>
            <w:r w:rsidRPr="00974F20">
              <w:rPr>
                <w:rFonts w:eastAsia="Times New Roman" w:cs="Arial"/>
                <w:lang w:eastAsia="en-GB"/>
              </w:rPr>
              <w:t>The IAG will be delivered in the context or purpose of your organisation – the reason you offer your services.</w:t>
            </w:r>
            <w:r w:rsidR="00B35623" w:rsidRPr="00974F20">
              <w:rPr>
                <w:rFonts w:eastAsia="Times New Roman" w:cs="Arial"/>
                <w:lang w:eastAsia="en-GB"/>
              </w:rPr>
              <w:t xml:space="preserve"> </w:t>
            </w:r>
            <w:r w:rsidRPr="00974F20">
              <w:rPr>
                <w:rFonts w:eastAsia="Times New Roman" w:cs="Arial"/>
                <w:lang w:eastAsia="en-GB"/>
              </w:rPr>
              <w:t>For some organisations, their IAG delivery is their main purpose and therefore the purpose of their IAG and the purpose of their organisation is one and the same thing, and this clarity will already be in place.</w:t>
            </w:r>
            <w:r w:rsidR="00B35623" w:rsidRPr="00974F20">
              <w:rPr>
                <w:rFonts w:eastAsia="Times New Roman" w:cs="Arial"/>
                <w:lang w:eastAsia="en-GB"/>
              </w:rPr>
              <w:t xml:space="preserve"> </w:t>
            </w:r>
            <w:r w:rsidRPr="00974F20">
              <w:rPr>
                <w:rFonts w:eastAsia="Times New Roman" w:cs="Arial"/>
                <w:lang w:eastAsia="en-GB"/>
              </w:rPr>
              <w:t>For other organisations, IAG may contribute to wider organisational aims and demonstrating the link between the IAG offer and the overall purpose will be important.</w:t>
            </w:r>
          </w:p>
        </w:tc>
      </w:tr>
      <w:tr w:rsidR="0026617A" w:rsidRPr="00974F20" w14:paraId="20B88E91" w14:textId="77777777" w:rsidTr="00C35C2E">
        <w:tc>
          <w:tcPr>
            <w:tcW w:w="2392" w:type="dxa"/>
            <w:vAlign w:val="center"/>
          </w:tcPr>
          <w:p w14:paraId="0BEA1915" w14:textId="77777777" w:rsidR="0026617A" w:rsidRPr="00974F20" w:rsidRDefault="0026617A" w:rsidP="00C35C2E">
            <w:pPr>
              <w:jc w:val="left"/>
              <w:rPr>
                <w:rFonts w:eastAsia="Times New Roman" w:cs="Arial"/>
                <w:lang w:eastAsia="en-GB"/>
              </w:rPr>
            </w:pPr>
            <w:r w:rsidRPr="00974F20">
              <w:rPr>
                <w:rFonts w:eastAsia="Times New Roman" w:cs="Arial"/>
                <w:lang w:eastAsia="en-GB"/>
              </w:rPr>
              <w:t>Resources</w:t>
            </w:r>
          </w:p>
        </w:tc>
        <w:tc>
          <w:tcPr>
            <w:tcW w:w="12170" w:type="dxa"/>
            <w:vAlign w:val="center"/>
          </w:tcPr>
          <w:p w14:paraId="2ED0F0F4" w14:textId="09863FAA" w:rsidR="0026617A" w:rsidRPr="00974F20" w:rsidRDefault="0026617A" w:rsidP="00C35C2E">
            <w:pPr>
              <w:jc w:val="left"/>
              <w:rPr>
                <w:rFonts w:eastAsia="Times New Roman" w:cs="Arial"/>
                <w:lang w:eastAsia="en-GB"/>
              </w:rPr>
            </w:pPr>
            <w:r w:rsidRPr="00974F20">
              <w:rPr>
                <w:rFonts w:eastAsia="Times New Roman" w:cs="Arial"/>
                <w:lang w:eastAsia="en-GB"/>
              </w:rPr>
              <w:t>This may include human, physical, and digital resources.</w:t>
            </w:r>
            <w:r w:rsidR="00B35623" w:rsidRPr="00974F20">
              <w:rPr>
                <w:rFonts w:eastAsia="Times New Roman" w:cs="Arial"/>
                <w:lang w:eastAsia="en-GB"/>
              </w:rPr>
              <w:t xml:space="preserve"> </w:t>
            </w:r>
            <w:r w:rsidRPr="00974F20">
              <w:rPr>
                <w:rFonts w:eastAsia="Times New Roman" w:cs="Arial"/>
                <w:lang w:eastAsia="en-GB"/>
              </w:rPr>
              <w:t>The Standard does not prescribe the level of resources that should be allocated to the IAG service but seeks for services to be appropriately resourced to meet their purpose.</w:t>
            </w:r>
            <w:r w:rsidR="00B35623" w:rsidRPr="00974F20">
              <w:rPr>
                <w:rFonts w:eastAsia="Times New Roman" w:cs="Arial"/>
                <w:lang w:eastAsia="en-GB"/>
              </w:rPr>
              <w:t xml:space="preserve"> </w:t>
            </w:r>
            <w:r w:rsidRPr="00974F20">
              <w:rPr>
                <w:rFonts w:eastAsia="Times New Roman" w:cs="Arial"/>
                <w:lang w:eastAsia="en-GB"/>
              </w:rPr>
              <w:t xml:space="preserve">This may include consideration of how staff manage their caseloads/workloads and the support they are provided with this. </w:t>
            </w:r>
          </w:p>
        </w:tc>
      </w:tr>
      <w:tr w:rsidR="0026617A" w:rsidRPr="00974F20" w14:paraId="3D7387C3" w14:textId="77777777" w:rsidTr="00C35C2E">
        <w:tc>
          <w:tcPr>
            <w:tcW w:w="2392" w:type="dxa"/>
            <w:vAlign w:val="center"/>
          </w:tcPr>
          <w:p w14:paraId="634226EB" w14:textId="77777777" w:rsidR="0026617A" w:rsidRPr="00974F20" w:rsidRDefault="0026617A" w:rsidP="00C35C2E">
            <w:pPr>
              <w:jc w:val="left"/>
              <w:rPr>
                <w:rFonts w:eastAsia="Times New Roman" w:cs="Arial"/>
                <w:lang w:eastAsia="en-GB"/>
              </w:rPr>
            </w:pPr>
            <w:r w:rsidRPr="00974F20">
              <w:rPr>
                <w:rFonts w:eastAsia="Times New Roman" w:cs="Arial"/>
                <w:lang w:eastAsia="en-GB"/>
              </w:rPr>
              <w:t>Safe</w:t>
            </w:r>
          </w:p>
        </w:tc>
        <w:tc>
          <w:tcPr>
            <w:tcW w:w="12170" w:type="dxa"/>
            <w:vAlign w:val="center"/>
          </w:tcPr>
          <w:p w14:paraId="7BDBE1D4" w14:textId="7E450537" w:rsidR="0026617A" w:rsidRPr="00974F20" w:rsidRDefault="0026617A" w:rsidP="00C35C2E">
            <w:pPr>
              <w:jc w:val="left"/>
              <w:rPr>
                <w:rFonts w:eastAsia="Times New Roman" w:cs="Arial"/>
                <w:lang w:eastAsia="en-GB"/>
              </w:rPr>
            </w:pPr>
            <w:r w:rsidRPr="00974F20">
              <w:rPr>
                <w:rFonts w:eastAsia="Times New Roman" w:cs="Arial"/>
                <w:lang w:eastAsia="en-GB"/>
              </w:rPr>
              <w:t>This refers to a range of policies and practice to help ensure the safety of staff and recipients.</w:t>
            </w:r>
            <w:r w:rsidR="00B35623" w:rsidRPr="00974F20">
              <w:rPr>
                <w:rFonts w:eastAsia="Times New Roman" w:cs="Arial"/>
                <w:lang w:eastAsia="en-GB"/>
              </w:rPr>
              <w:t xml:space="preserve"> </w:t>
            </w:r>
            <w:r w:rsidRPr="00974F20">
              <w:rPr>
                <w:rFonts w:eastAsia="Times New Roman" w:cs="Arial"/>
                <w:lang w:eastAsia="en-GB"/>
              </w:rPr>
              <w:t>This encompasses, as appropriate to the organisation and their client group/s, aspects of safeguarding which could include online safety, bullying and harassment. Staff delivering IAG may have different roles in supporting this, for example referral to a safeguarding lead.</w:t>
            </w:r>
          </w:p>
        </w:tc>
      </w:tr>
      <w:tr w:rsidR="0026617A" w:rsidRPr="00974F20" w14:paraId="1DA81F97" w14:textId="77777777" w:rsidTr="00C35C2E">
        <w:tc>
          <w:tcPr>
            <w:tcW w:w="2392" w:type="dxa"/>
            <w:vAlign w:val="center"/>
          </w:tcPr>
          <w:p w14:paraId="142C2686" w14:textId="77777777" w:rsidR="0026617A" w:rsidRPr="00974F20" w:rsidRDefault="0026617A" w:rsidP="00C35C2E">
            <w:pPr>
              <w:jc w:val="left"/>
              <w:rPr>
                <w:rFonts w:eastAsia="Times New Roman" w:cs="Arial"/>
                <w:lang w:eastAsia="en-GB"/>
              </w:rPr>
            </w:pPr>
            <w:r w:rsidRPr="00974F20">
              <w:rPr>
                <w:rFonts w:eastAsia="Times New Roman" w:cs="Arial"/>
                <w:lang w:eastAsia="en-GB"/>
              </w:rPr>
              <w:t>Signposting and referral</w:t>
            </w:r>
          </w:p>
        </w:tc>
        <w:tc>
          <w:tcPr>
            <w:tcW w:w="12170" w:type="dxa"/>
            <w:vAlign w:val="center"/>
          </w:tcPr>
          <w:p w14:paraId="7CCE9E9E" w14:textId="0EDA3ED7" w:rsidR="0026617A" w:rsidRPr="00974F20" w:rsidRDefault="0026617A" w:rsidP="00C35C2E">
            <w:pPr>
              <w:jc w:val="left"/>
              <w:rPr>
                <w:rFonts w:eastAsia="Times New Roman" w:cs="Arial"/>
                <w:lang w:eastAsia="en-GB"/>
              </w:rPr>
            </w:pPr>
            <w:r w:rsidRPr="00974F20">
              <w:rPr>
                <w:rFonts w:eastAsia="Times New Roman" w:cs="Arial"/>
                <w:lang w:eastAsia="en-GB"/>
              </w:rPr>
              <w:t>Signposting and referral are terms that are often used inter-changeably.</w:t>
            </w:r>
            <w:r w:rsidR="00B35623" w:rsidRPr="00974F20">
              <w:rPr>
                <w:rFonts w:eastAsia="Times New Roman" w:cs="Arial"/>
                <w:lang w:eastAsia="en-GB"/>
              </w:rPr>
              <w:t xml:space="preserve"> </w:t>
            </w:r>
            <w:r w:rsidRPr="00974F20">
              <w:rPr>
                <w:rFonts w:eastAsia="Times New Roman" w:cs="Arial"/>
                <w:lang w:eastAsia="en-GB"/>
              </w:rPr>
              <w:t>Signposting is where the service needed is not provided, and where, usually, no relationship has been established with the recipient.</w:t>
            </w:r>
            <w:r w:rsidR="00B35623" w:rsidRPr="00974F20">
              <w:rPr>
                <w:rFonts w:eastAsia="Times New Roman" w:cs="Arial"/>
                <w:lang w:eastAsia="en-GB"/>
              </w:rPr>
              <w:t xml:space="preserve"> </w:t>
            </w:r>
            <w:r w:rsidRPr="00974F20">
              <w:rPr>
                <w:rFonts w:eastAsia="Times New Roman" w:cs="Arial"/>
                <w:lang w:eastAsia="en-GB"/>
              </w:rPr>
              <w:t>Information is provided on alternative providers.</w:t>
            </w:r>
            <w:r w:rsidR="00B35623" w:rsidRPr="00974F20">
              <w:rPr>
                <w:rFonts w:eastAsia="Times New Roman" w:cs="Arial"/>
                <w:lang w:eastAsia="en-GB"/>
              </w:rPr>
              <w:t xml:space="preserve"> </w:t>
            </w:r>
            <w:r w:rsidRPr="00974F20">
              <w:rPr>
                <w:rFonts w:eastAsia="Times New Roman" w:cs="Arial"/>
                <w:lang w:eastAsia="en-GB"/>
              </w:rPr>
              <w:t>Referral is an active response to a recipient’s need where alternative/additional provision is needed, and steps are taken to introduce the recipient to the new provider and support the handover.</w:t>
            </w:r>
          </w:p>
        </w:tc>
      </w:tr>
      <w:tr w:rsidR="0026617A" w:rsidRPr="00974F20" w14:paraId="17AC77F2" w14:textId="77777777" w:rsidTr="00C35C2E">
        <w:tc>
          <w:tcPr>
            <w:tcW w:w="2392" w:type="dxa"/>
            <w:vAlign w:val="center"/>
          </w:tcPr>
          <w:p w14:paraId="55D0B800" w14:textId="77777777" w:rsidR="0026617A" w:rsidRPr="00974F20" w:rsidRDefault="0026617A" w:rsidP="00C35C2E">
            <w:pPr>
              <w:jc w:val="left"/>
              <w:rPr>
                <w:rFonts w:eastAsia="Times New Roman" w:cs="Arial"/>
                <w:lang w:eastAsia="en-GB"/>
              </w:rPr>
            </w:pPr>
            <w:r w:rsidRPr="00974F20">
              <w:rPr>
                <w:rFonts w:eastAsia="Times New Roman" w:cs="Arial"/>
                <w:lang w:eastAsia="en-GB"/>
              </w:rPr>
              <w:t>Soft outcomes</w:t>
            </w:r>
          </w:p>
        </w:tc>
        <w:tc>
          <w:tcPr>
            <w:tcW w:w="12170" w:type="dxa"/>
            <w:vAlign w:val="center"/>
          </w:tcPr>
          <w:p w14:paraId="432FB12A" w14:textId="65A9727A" w:rsidR="0026617A" w:rsidRPr="00974F20" w:rsidRDefault="0026617A" w:rsidP="00C35C2E">
            <w:pPr>
              <w:jc w:val="left"/>
              <w:rPr>
                <w:rFonts w:eastAsia="Times New Roman" w:cs="Arial"/>
                <w:lang w:eastAsia="en-GB"/>
              </w:rPr>
            </w:pPr>
            <w:r w:rsidRPr="00974F20">
              <w:rPr>
                <w:rFonts w:eastAsia="Times New Roman" w:cs="Arial"/>
                <w:lang w:eastAsia="en-GB"/>
              </w:rPr>
              <w:t>These are the progression steps made by a recipient in areas such as confidence, self-awareness, motivation, aspiration.</w:t>
            </w:r>
            <w:r w:rsidR="00B35623" w:rsidRPr="00974F20">
              <w:rPr>
                <w:rFonts w:eastAsia="Times New Roman" w:cs="Arial"/>
                <w:lang w:eastAsia="en-GB"/>
              </w:rPr>
              <w:t xml:space="preserve"> </w:t>
            </w:r>
            <w:r w:rsidRPr="00974F20">
              <w:rPr>
                <w:rFonts w:eastAsia="Times New Roman" w:cs="Arial"/>
                <w:lang w:eastAsia="en-GB"/>
              </w:rPr>
              <w:t>These may be captured through a distance travelled model.</w:t>
            </w:r>
          </w:p>
        </w:tc>
      </w:tr>
      <w:tr w:rsidR="0026617A" w:rsidRPr="00974F20" w14:paraId="3D8A6DE8" w14:textId="77777777" w:rsidTr="00C35C2E">
        <w:tc>
          <w:tcPr>
            <w:tcW w:w="2392" w:type="dxa"/>
            <w:vAlign w:val="center"/>
          </w:tcPr>
          <w:p w14:paraId="4E8230AA" w14:textId="77777777" w:rsidR="0026617A" w:rsidRPr="00974F20" w:rsidRDefault="0026617A" w:rsidP="00C35C2E">
            <w:pPr>
              <w:jc w:val="left"/>
              <w:rPr>
                <w:rFonts w:eastAsia="Times New Roman" w:cs="Arial"/>
                <w:lang w:eastAsia="en-GB"/>
              </w:rPr>
            </w:pPr>
            <w:r w:rsidRPr="00974F20">
              <w:rPr>
                <w:rFonts w:eastAsia="Times New Roman" w:cs="Arial"/>
                <w:lang w:eastAsia="en-GB"/>
              </w:rPr>
              <w:t>Staff</w:t>
            </w:r>
          </w:p>
        </w:tc>
        <w:tc>
          <w:tcPr>
            <w:tcW w:w="12170" w:type="dxa"/>
            <w:vAlign w:val="center"/>
          </w:tcPr>
          <w:p w14:paraId="7391DAF9" w14:textId="77777777" w:rsidR="0026617A" w:rsidRPr="00974F20" w:rsidRDefault="0026617A" w:rsidP="00C35C2E">
            <w:pPr>
              <w:jc w:val="left"/>
              <w:rPr>
                <w:rFonts w:eastAsia="Times New Roman" w:cs="Arial"/>
                <w:lang w:eastAsia="en-GB"/>
              </w:rPr>
            </w:pPr>
            <w:r w:rsidRPr="00974F20">
              <w:rPr>
                <w:rFonts w:eastAsia="Times New Roman" w:cs="Arial"/>
                <w:lang w:eastAsia="en-GB"/>
              </w:rPr>
              <w:t>Any people paid or unpaid (</w:t>
            </w:r>
            <w:proofErr w:type="gramStart"/>
            <w:r w:rsidRPr="00974F20">
              <w:rPr>
                <w:rFonts w:eastAsia="Times New Roman" w:cs="Arial"/>
                <w:lang w:eastAsia="en-GB"/>
              </w:rPr>
              <w:t>i.e.</w:t>
            </w:r>
            <w:proofErr w:type="gramEnd"/>
            <w:r w:rsidRPr="00974F20">
              <w:rPr>
                <w:rFonts w:eastAsia="Times New Roman" w:cs="Arial"/>
                <w:lang w:eastAsia="en-GB"/>
              </w:rPr>
              <w:t xml:space="preserve"> volunteers) who deliver your IAG </w:t>
            </w:r>
          </w:p>
        </w:tc>
      </w:tr>
      <w:tr w:rsidR="0026617A" w:rsidRPr="00974F20" w14:paraId="283ADC85" w14:textId="77777777" w:rsidTr="00C35C2E">
        <w:tc>
          <w:tcPr>
            <w:tcW w:w="2392" w:type="dxa"/>
            <w:vAlign w:val="center"/>
          </w:tcPr>
          <w:p w14:paraId="02A7230B" w14:textId="77777777" w:rsidR="0026617A" w:rsidRPr="00974F20" w:rsidRDefault="0026617A" w:rsidP="00C35C2E">
            <w:pPr>
              <w:jc w:val="left"/>
              <w:rPr>
                <w:rFonts w:eastAsia="Times New Roman" w:cs="Arial"/>
                <w:lang w:eastAsia="en-GB"/>
              </w:rPr>
            </w:pPr>
            <w:r w:rsidRPr="00974F20">
              <w:rPr>
                <w:rFonts w:eastAsia="Times New Roman" w:cs="Arial"/>
                <w:lang w:eastAsia="en-GB"/>
              </w:rPr>
              <w:t>Statutory guidance and legislation</w:t>
            </w:r>
          </w:p>
        </w:tc>
        <w:tc>
          <w:tcPr>
            <w:tcW w:w="12170" w:type="dxa"/>
            <w:vAlign w:val="center"/>
          </w:tcPr>
          <w:p w14:paraId="60F81497" w14:textId="3099B140" w:rsidR="0026617A" w:rsidRPr="00974F20" w:rsidRDefault="0026617A" w:rsidP="00C35C2E">
            <w:pPr>
              <w:jc w:val="left"/>
              <w:rPr>
                <w:rFonts w:eastAsia="Times New Roman" w:cs="Arial"/>
                <w:lang w:eastAsia="en-GB"/>
              </w:rPr>
            </w:pPr>
            <w:r w:rsidRPr="00974F20">
              <w:rPr>
                <w:rFonts w:eastAsia="Times New Roman" w:cs="Arial"/>
                <w:lang w:eastAsia="en-GB"/>
              </w:rPr>
              <w:t>Organisations need to know the statutory guidance and legislation that is relevant to their service.</w:t>
            </w:r>
            <w:r w:rsidR="00B35623" w:rsidRPr="00974F20">
              <w:rPr>
                <w:rFonts w:eastAsia="Times New Roman" w:cs="Arial"/>
                <w:lang w:eastAsia="en-GB"/>
              </w:rPr>
              <w:t xml:space="preserve"> </w:t>
            </w:r>
            <w:r w:rsidRPr="00974F20">
              <w:rPr>
                <w:rFonts w:eastAsia="Times New Roman" w:cs="Arial"/>
                <w:lang w:eastAsia="en-GB"/>
              </w:rPr>
              <w:t>This may include Safeguarding of Vulnerable Groups Act, PREVENT, SEND Code of Practice</w:t>
            </w:r>
          </w:p>
        </w:tc>
      </w:tr>
      <w:tr w:rsidR="0026617A" w:rsidRPr="00974F20" w14:paraId="6819B25C" w14:textId="77777777" w:rsidTr="00C35C2E">
        <w:tc>
          <w:tcPr>
            <w:tcW w:w="2392" w:type="dxa"/>
            <w:vAlign w:val="center"/>
          </w:tcPr>
          <w:p w14:paraId="752AA7DD" w14:textId="77777777" w:rsidR="0026617A" w:rsidRPr="00974F20" w:rsidRDefault="0026617A" w:rsidP="00C35C2E">
            <w:pPr>
              <w:jc w:val="left"/>
              <w:rPr>
                <w:rFonts w:eastAsia="Times New Roman" w:cs="Arial"/>
                <w:lang w:eastAsia="en-GB"/>
              </w:rPr>
            </w:pPr>
            <w:r w:rsidRPr="00974F20">
              <w:rPr>
                <w:rFonts w:eastAsia="Times New Roman" w:cs="Arial"/>
                <w:lang w:eastAsia="en-GB"/>
              </w:rPr>
              <w:t>Wellbeing</w:t>
            </w:r>
          </w:p>
        </w:tc>
        <w:tc>
          <w:tcPr>
            <w:tcW w:w="12170" w:type="dxa"/>
            <w:vAlign w:val="center"/>
          </w:tcPr>
          <w:p w14:paraId="0076C96B" w14:textId="1331B28E" w:rsidR="0026617A" w:rsidRPr="00974F20" w:rsidRDefault="0026617A" w:rsidP="00C35C2E">
            <w:pPr>
              <w:jc w:val="left"/>
              <w:rPr>
                <w:rFonts w:eastAsia="Times New Roman" w:cs="Arial"/>
                <w:lang w:eastAsia="en-GB"/>
              </w:rPr>
            </w:pPr>
            <w:r w:rsidRPr="00974F20">
              <w:rPr>
                <w:rFonts w:eastAsia="Times New Roman" w:cs="Arial"/>
                <w:lang w:eastAsia="en-GB"/>
              </w:rPr>
              <w:t>This is the state of being comfortable, healthy, or happy.</w:t>
            </w:r>
            <w:r w:rsidR="00B35623" w:rsidRPr="00974F20">
              <w:rPr>
                <w:rFonts w:eastAsia="Times New Roman" w:cs="Arial"/>
                <w:lang w:eastAsia="en-GB"/>
              </w:rPr>
              <w:t xml:space="preserve"> </w:t>
            </w:r>
            <w:r w:rsidRPr="00974F20">
              <w:rPr>
                <w:rFonts w:eastAsia="Times New Roman" w:cs="Arial"/>
                <w:lang w:eastAsia="en-GB"/>
              </w:rPr>
              <w:t xml:space="preserve">Individuals’ sense of wellbeing may be affected by </w:t>
            </w:r>
            <w:proofErr w:type="gramStart"/>
            <w:r w:rsidRPr="00974F20">
              <w:rPr>
                <w:rFonts w:eastAsia="Times New Roman" w:cs="Arial"/>
                <w:lang w:eastAsia="en-GB"/>
              </w:rPr>
              <w:t>a number of</w:t>
            </w:r>
            <w:proofErr w:type="gramEnd"/>
            <w:r w:rsidRPr="00974F20">
              <w:rPr>
                <w:rFonts w:eastAsia="Times New Roman" w:cs="Arial"/>
                <w:lang w:eastAsia="en-GB"/>
              </w:rPr>
              <w:t xml:space="preserve"> factors, such as their mental health, their financial wellbeing, relationships etc.</w:t>
            </w:r>
          </w:p>
        </w:tc>
      </w:tr>
    </w:tbl>
    <w:p w14:paraId="3EB47563" w14:textId="7B36339F" w:rsidR="00713294" w:rsidRPr="00974F20" w:rsidRDefault="00713294" w:rsidP="002217F7">
      <w:pPr>
        <w:rPr>
          <w:rFonts w:asciiTheme="minorHAnsi" w:eastAsia="Times New Roman" w:hAnsiTheme="minorHAnsi" w:cstheme="minorHAnsi"/>
          <w:sz w:val="12"/>
          <w:szCs w:val="14"/>
          <w:lang w:eastAsia="en-GB"/>
        </w:rPr>
      </w:pPr>
    </w:p>
    <w:p w14:paraId="43B0C8FC" w14:textId="77777777" w:rsidR="00190881" w:rsidRPr="00974F20" w:rsidRDefault="00190881" w:rsidP="002217F7">
      <w:pPr>
        <w:rPr>
          <w:rFonts w:asciiTheme="minorHAnsi" w:eastAsia="Times New Roman" w:hAnsiTheme="minorHAnsi" w:cstheme="minorHAnsi"/>
          <w:lang w:eastAsia="en-GB"/>
        </w:rPr>
        <w:sectPr w:rsidR="00190881" w:rsidRPr="00974F20" w:rsidSect="0088501E">
          <w:footerReference w:type="default" r:id="rId20"/>
          <w:footerReference w:type="first" r:id="rId21"/>
          <w:pgSz w:w="16840" w:h="11900" w:orient="landscape"/>
          <w:pgMar w:top="1134" w:right="1134" w:bottom="1134" w:left="1134" w:header="709" w:footer="709" w:gutter="0"/>
          <w:cols w:space="708"/>
          <w:titlePg/>
          <w:docGrid w:linePitch="360"/>
        </w:sectPr>
      </w:pPr>
    </w:p>
    <w:p w14:paraId="73FF2821" w14:textId="77777777" w:rsidR="00033AFC" w:rsidRDefault="00033AFC" w:rsidP="00033AFC">
      <w:pPr>
        <w:rPr>
          <w:rFonts w:asciiTheme="minorHAnsi" w:eastAsia="Times New Roman" w:hAnsiTheme="minorHAnsi" w:cstheme="minorHAnsi"/>
          <w:bCs/>
          <w:lang w:eastAsia="en-GB"/>
        </w:rPr>
      </w:pPr>
    </w:p>
    <w:p w14:paraId="6743B175" w14:textId="77777777" w:rsidR="00033AFC" w:rsidRDefault="00033AFC" w:rsidP="00033AFC">
      <w:pPr>
        <w:rPr>
          <w:rFonts w:asciiTheme="minorHAnsi" w:eastAsia="Times New Roman" w:hAnsiTheme="minorHAnsi" w:cstheme="minorHAnsi"/>
          <w:bCs/>
          <w:lang w:eastAsia="en-GB"/>
        </w:rPr>
      </w:pPr>
    </w:p>
    <w:p w14:paraId="190EC044" w14:textId="77777777" w:rsidR="00033AFC" w:rsidRDefault="00033AFC" w:rsidP="00033AFC">
      <w:pPr>
        <w:rPr>
          <w:rFonts w:asciiTheme="minorHAnsi" w:eastAsia="Times New Roman" w:hAnsiTheme="minorHAnsi" w:cstheme="minorHAnsi"/>
          <w:bCs/>
          <w:lang w:eastAsia="en-GB"/>
        </w:rPr>
      </w:pPr>
    </w:p>
    <w:p w14:paraId="2B574A71" w14:textId="77777777" w:rsidR="00033AFC" w:rsidRDefault="00033AFC" w:rsidP="00033AFC">
      <w:pPr>
        <w:rPr>
          <w:rFonts w:asciiTheme="minorHAnsi" w:eastAsia="Times New Roman" w:hAnsiTheme="minorHAnsi" w:cstheme="minorHAnsi"/>
          <w:bCs/>
          <w:lang w:eastAsia="en-GB"/>
        </w:rPr>
      </w:pPr>
    </w:p>
    <w:p w14:paraId="0CB9C296" w14:textId="77777777" w:rsidR="00033AFC" w:rsidRDefault="00033AFC" w:rsidP="00033AFC">
      <w:pPr>
        <w:rPr>
          <w:rFonts w:asciiTheme="minorHAnsi" w:eastAsia="Times New Roman" w:hAnsiTheme="minorHAnsi" w:cstheme="minorHAnsi"/>
          <w:bCs/>
          <w:lang w:eastAsia="en-GB"/>
        </w:rPr>
      </w:pPr>
    </w:p>
    <w:p w14:paraId="0F7E497C" w14:textId="77777777" w:rsidR="00033AFC" w:rsidRDefault="00033AFC" w:rsidP="00033AFC">
      <w:pPr>
        <w:rPr>
          <w:rFonts w:asciiTheme="minorHAnsi" w:eastAsia="Times New Roman" w:hAnsiTheme="minorHAnsi" w:cstheme="minorHAnsi"/>
          <w:bCs/>
          <w:lang w:eastAsia="en-GB"/>
        </w:rPr>
      </w:pPr>
    </w:p>
    <w:p w14:paraId="0EA2F883" w14:textId="77777777" w:rsidR="00033AFC" w:rsidRDefault="00033AFC" w:rsidP="00033AFC">
      <w:pPr>
        <w:rPr>
          <w:rFonts w:asciiTheme="minorHAnsi" w:eastAsia="Times New Roman" w:hAnsiTheme="minorHAnsi" w:cstheme="minorHAnsi"/>
          <w:bCs/>
          <w:lang w:eastAsia="en-GB"/>
        </w:rPr>
      </w:pPr>
    </w:p>
    <w:p w14:paraId="1AD1E755" w14:textId="77777777" w:rsidR="00033AFC" w:rsidRDefault="00033AFC" w:rsidP="00033AFC">
      <w:pPr>
        <w:rPr>
          <w:rFonts w:asciiTheme="minorHAnsi" w:eastAsia="Times New Roman" w:hAnsiTheme="minorHAnsi" w:cstheme="minorHAnsi"/>
          <w:bCs/>
          <w:lang w:eastAsia="en-GB"/>
        </w:rPr>
      </w:pPr>
    </w:p>
    <w:p w14:paraId="19E13D44" w14:textId="77777777" w:rsidR="00033AFC" w:rsidRDefault="00033AFC" w:rsidP="00033AFC">
      <w:pPr>
        <w:rPr>
          <w:rFonts w:asciiTheme="minorHAnsi" w:eastAsia="Times New Roman" w:hAnsiTheme="minorHAnsi" w:cstheme="minorHAnsi"/>
          <w:bCs/>
          <w:lang w:eastAsia="en-GB"/>
        </w:rPr>
      </w:pPr>
    </w:p>
    <w:p w14:paraId="7AAAD204" w14:textId="77777777" w:rsidR="00033AFC" w:rsidRDefault="00033AFC" w:rsidP="00033AFC">
      <w:pPr>
        <w:rPr>
          <w:rFonts w:asciiTheme="minorHAnsi" w:eastAsia="Times New Roman" w:hAnsiTheme="minorHAnsi" w:cstheme="minorHAnsi"/>
          <w:bCs/>
          <w:lang w:eastAsia="en-GB"/>
        </w:rPr>
      </w:pPr>
    </w:p>
    <w:p w14:paraId="0BA85BCE" w14:textId="77777777" w:rsidR="00033AFC" w:rsidRDefault="00033AFC" w:rsidP="00033AFC">
      <w:pPr>
        <w:rPr>
          <w:rFonts w:asciiTheme="minorHAnsi" w:eastAsia="Times New Roman" w:hAnsiTheme="minorHAnsi" w:cstheme="minorHAnsi"/>
          <w:bCs/>
          <w:lang w:eastAsia="en-GB"/>
        </w:rPr>
      </w:pPr>
    </w:p>
    <w:p w14:paraId="478A3C29" w14:textId="77777777" w:rsidR="00033AFC" w:rsidRDefault="00033AFC" w:rsidP="00033AFC">
      <w:pPr>
        <w:rPr>
          <w:rFonts w:asciiTheme="minorHAnsi" w:eastAsia="Times New Roman" w:hAnsiTheme="minorHAnsi" w:cstheme="minorHAnsi"/>
          <w:bCs/>
          <w:lang w:eastAsia="en-GB"/>
        </w:rPr>
      </w:pPr>
    </w:p>
    <w:p w14:paraId="3E791869" w14:textId="77777777" w:rsidR="00033AFC" w:rsidRDefault="00033AFC" w:rsidP="00033AFC">
      <w:pPr>
        <w:rPr>
          <w:rFonts w:asciiTheme="minorHAnsi" w:eastAsia="Times New Roman" w:hAnsiTheme="minorHAnsi" w:cstheme="minorHAnsi"/>
          <w:bCs/>
          <w:lang w:eastAsia="en-GB"/>
        </w:rPr>
      </w:pPr>
    </w:p>
    <w:p w14:paraId="102ADAF4" w14:textId="77777777" w:rsidR="00033AFC" w:rsidRDefault="00033AFC" w:rsidP="00033AFC">
      <w:pPr>
        <w:rPr>
          <w:rFonts w:asciiTheme="minorHAnsi" w:eastAsia="Times New Roman" w:hAnsiTheme="minorHAnsi" w:cstheme="minorHAnsi"/>
          <w:bCs/>
          <w:lang w:eastAsia="en-GB"/>
        </w:rPr>
      </w:pPr>
    </w:p>
    <w:p w14:paraId="468C4FBC" w14:textId="7CA02E1A" w:rsidR="00033AFC" w:rsidRDefault="009A3332" w:rsidP="009A3332">
      <w:pPr>
        <w:jc w:val="center"/>
        <w:rPr>
          <w:rFonts w:asciiTheme="minorHAnsi" w:eastAsia="Times New Roman" w:hAnsiTheme="minorHAnsi" w:cstheme="minorHAnsi"/>
          <w:bCs/>
          <w:lang w:eastAsia="en-GB"/>
        </w:rPr>
      </w:pPr>
      <w:r>
        <w:rPr>
          <w:rFonts w:eastAsia="Arial" w:cs="Arial"/>
          <w:noProof/>
          <w:color w:val="1F3864"/>
          <w:sz w:val="28"/>
          <w:szCs w:val="28"/>
        </w:rPr>
        <w:drawing>
          <wp:inline distT="0" distB="0" distL="0" distR="0" wp14:anchorId="28158EE9" wp14:editId="5E185709">
            <wp:extent cx="2390775" cy="122630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437523" cy="1250280"/>
                    </a:xfrm>
                    <a:prstGeom prst="rect">
                      <a:avLst/>
                    </a:prstGeom>
                  </pic:spPr>
                </pic:pic>
              </a:graphicData>
            </a:graphic>
          </wp:inline>
        </w:drawing>
      </w:r>
    </w:p>
    <w:p w14:paraId="7B18285C" w14:textId="77777777" w:rsidR="00033AFC" w:rsidRDefault="00033AFC" w:rsidP="00033AFC">
      <w:pPr>
        <w:rPr>
          <w:rFonts w:asciiTheme="minorHAnsi" w:eastAsia="Times New Roman" w:hAnsiTheme="minorHAnsi" w:cstheme="minorHAnsi"/>
          <w:bCs/>
          <w:lang w:eastAsia="en-GB"/>
        </w:rPr>
      </w:pPr>
    </w:p>
    <w:p w14:paraId="3E18FCC5" w14:textId="77777777" w:rsidR="00033AFC" w:rsidRDefault="00033AFC" w:rsidP="00033AFC">
      <w:pPr>
        <w:rPr>
          <w:rFonts w:asciiTheme="minorHAnsi" w:eastAsia="Times New Roman" w:hAnsiTheme="minorHAnsi" w:cstheme="minorHAnsi"/>
          <w:bCs/>
          <w:lang w:eastAsia="en-GB"/>
        </w:rPr>
      </w:pPr>
    </w:p>
    <w:p w14:paraId="7BE2DF56" w14:textId="77777777" w:rsidR="00033AFC" w:rsidRDefault="00033AFC" w:rsidP="00033AFC">
      <w:pPr>
        <w:rPr>
          <w:rFonts w:asciiTheme="minorHAnsi" w:eastAsia="Times New Roman" w:hAnsiTheme="minorHAnsi" w:cstheme="minorHAnsi"/>
          <w:bCs/>
          <w:lang w:eastAsia="en-GB"/>
        </w:rPr>
      </w:pPr>
    </w:p>
    <w:p w14:paraId="70714FC8" w14:textId="77777777" w:rsidR="00033AFC" w:rsidRDefault="00033AFC" w:rsidP="00033AFC">
      <w:pPr>
        <w:rPr>
          <w:rFonts w:asciiTheme="minorHAnsi" w:eastAsia="Times New Roman" w:hAnsiTheme="minorHAnsi" w:cstheme="minorHAnsi"/>
          <w:bCs/>
          <w:lang w:eastAsia="en-GB"/>
        </w:rPr>
      </w:pPr>
    </w:p>
    <w:p w14:paraId="397FA44A" w14:textId="77777777" w:rsidR="00033AFC" w:rsidRDefault="00033AFC" w:rsidP="00033AFC">
      <w:pPr>
        <w:rPr>
          <w:rFonts w:asciiTheme="minorHAnsi" w:eastAsia="Times New Roman" w:hAnsiTheme="minorHAnsi" w:cstheme="minorHAnsi"/>
          <w:bCs/>
          <w:lang w:eastAsia="en-GB"/>
        </w:rPr>
      </w:pPr>
    </w:p>
    <w:p w14:paraId="3F1C8F7D" w14:textId="48EAD96F" w:rsidR="00033AFC" w:rsidRDefault="009A3332" w:rsidP="009A3332">
      <w:pPr>
        <w:jc w:val="center"/>
        <w:rPr>
          <w:rFonts w:asciiTheme="minorHAnsi" w:eastAsia="Times New Roman" w:hAnsiTheme="minorHAnsi" w:cstheme="minorHAnsi"/>
          <w:bCs/>
          <w:lang w:eastAsia="en-GB"/>
        </w:rPr>
      </w:pPr>
      <w:r>
        <w:rPr>
          <w:noProof/>
        </w:rPr>
        <w:drawing>
          <wp:inline distT="0" distB="0" distL="0" distR="0" wp14:anchorId="74A44133" wp14:editId="5C66457A">
            <wp:extent cx="2248851" cy="96202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7944" cy="1012971"/>
                    </a:xfrm>
                    <a:prstGeom prst="rect">
                      <a:avLst/>
                    </a:prstGeom>
                  </pic:spPr>
                </pic:pic>
              </a:graphicData>
            </a:graphic>
          </wp:inline>
        </w:drawing>
      </w:r>
    </w:p>
    <w:p w14:paraId="7ADD8336" w14:textId="77777777" w:rsidR="00033AFC" w:rsidRDefault="00033AFC" w:rsidP="00033AFC">
      <w:pPr>
        <w:rPr>
          <w:rFonts w:asciiTheme="minorHAnsi" w:eastAsia="Times New Roman" w:hAnsiTheme="minorHAnsi" w:cstheme="minorHAnsi"/>
          <w:bCs/>
          <w:lang w:eastAsia="en-GB"/>
        </w:rPr>
      </w:pPr>
    </w:p>
    <w:p w14:paraId="4F981A6B" w14:textId="77777777" w:rsidR="00033AFC" w:rsidRDefault="00033AFC" w:rsidP="00033AFC">
      <w:pPr>
        <w:rPr>
          <w:rFonts w:asciiTheme="minorHAnsi" w:eastAsia="Times New Roman" w:hAnsiTheme="minorHAnsi" w:cstheme="minorHAnsi"/>
          <w:bCs/>
          <w:lang w:eastAsia="en-GB"/>
        </w:rPr>
      </w:pPr>
    </w:p>
    <w:p w14:paraId="596622BB" w14:textId="77777777" w:rsidR="00E40C29" w:rsidRDefault="00E40C29" w:rsidP="00033AFC">
      <w:pPr>
        <w:rPr>
          <w:rFonts w:asciiTheme="minorHAnsi" w:eastAsia="Times New Roman" w:hAnsiTheme="minorHAnsi" w:cstheme="minorHAnsi"/>
          <w:bCs/>
          <w:lang w:eastAsia="en-GB"/>
        </w:rPr>
      </w:pPr>
    </w:p>
    <w:p w14:paraId="031453D3" w14:textId="36FD0EAA" w:rsidR="00E40C29" w:rsidRPr="001E6C02" w:rsidRDefault="001E6C02" w:rsidP="00033AFC">
      <w:pPr>
        <w:rPr>
          <w:rFonts w:asciiTheme="minorHAnsi" w:eastAsia="Times New Roman" w:hAnsiTheme="minorHAnsi" w:cstheme="minorHAnsi"/>
          <w:bCs/>
          <w:sz w:val="24"/>
          <w:lang w:eastAsia="en-GB"/>
        </w:rPr>
      </w:pPr>
      <w:r w:rsidRPr="001E6C02">
        <w:rPr>
          <w:rFonts w:asciiTheme="minorHAnsi" w:eastAsia="Times New Roman" w:hAnsiTheme="minorHAnsi" w:cstheme="minorHAnsi"/>
          <w:bCs/>
          <w:sz w:val="24"/>
          <w:lang w:eastAsia="en-GB"/>
        </w:rPr>
        <w:t>The Growth Company Ltd.</w:t>
      </w:r>
    </w:p>
    <w:p w14:paraId="6A009CBA" w14:textId="77777777" w:rsidR="00E40C29" w:rsidRPr="001E6C02" w:rsidRDefault="00E40C29" w:rsidP="00033AFC">
      <w:pPr>
        <w:rPr>
          <w:rFonts w:asciiTheme="minorHAnsi" w:eastAsia="Times New Roman" w:hAnsiTheme="minorHAnsi" w:cstheme="minorHAnsi"/>
          <w:bCs/>
          <w:sz w:val="24"/>
          <w:lang w:eastAsia="en-GB"/>
        </w:rPr>
      </w:pPr>
    </w:p>
    <w:p w14:paraId="664011F4" w14:textId="3DE08950" w:rsidR="00033AFC" w:rsidRPr="00033AFC" w:rsidRDefault="00033AFC" w:rsidP="00033AFC">
      <w:pPr>
        <w:rPr>
          <w:rFonts w:asciiTheme="minorHAnsi" w:eastAsia="Times New Roman" w:hAnsiTheme="minorHAnsi" w:cstheme="minorHAnsi"/>
          <w:bCs/>
          <w:sz w:val="24"/>
          <w:lang w:eastAsia="en-GB"/>
        </w:rPr>
      </w:pPr>
      <w:r w:rsidRPr="00033AFC">
        <w:rPr>
          <w:rFonts w:asciiTheme="minorHAnsi" w:eastAsia="Times New Roman" w:hAnsiTheme="minorHAnsi" w:cstheme="minorHAnsi"/>
          <w:bCs/>
          <w:sz w:val="24"/>
          <w:lang w:eastAsia="en-GB"/>
        </w:rPr>
        <w:t>Registered in England. Company Registration No. 2443911.</w:t>
      </w:r>
    </w:p>
    <w:p w14:paraId="42FD9F33" w14:textId="77777777" w:rsidR="00033AFC" w:rsidRPr="00033AFC" w:rsidRDefault="00033AFC" w:rsidP="00033AFC">
      <w:pPr>
        <w:rPr>
          <w:rFonts w:asciiTheme="minorHAnsi" w:eastAsia="Times New Roman" w:hAnsiTheme="minorHAnsi" w:cstheme="minorHAnsi"/>
          <w:bCs/>
          <w:sz w:val="24"/>
          <w:lang w:eastAsia="en-GB"/>
        </w:rPr>
      </w:pPr>
      <w:r w:rsidRPr="00033AFC">
        <w:rPr>
          <w:rFonts w:asciiTheme="minorHAnsi" w:eastAsia="Times New Roman" w:hAnsiTheme="minorHAnsi" w:cstheme="minorHAnsi"/>
          <w:bCs/>
          <w:sz w:val="24"/>
          <w:lang w:eastAsia="en-GB"/>
        </w:rPr>
        <w:t>Registered Office: Lee House, 90 Great Bridgewater Street, Manchester, M1 5JW</w:t>
      </w:r>
    </w:p>
    <w:p w14:paraId="16D12E0A" w14:textId="77777777" w:rsidR="00033AFC" w:rsidRPr="00033AFC" w:rsidRDefault="00033AFC" w:rsidP="00033AFC">
      <w:pPr>
        <w:rPr>
          <w:rFonts w:asciiTheme="minorHAnsi" w:eastAsia="Times New Roman" w:hAnsiTheme="minorHAnsi" w:cstheme="minorHAnsi"/>
          <w:b/>
          <w:sz w:val="24"/>
          <w:lang w:eastAsia="en-GB"/>
        </w:rPr>
      </w:pPr>
    </w:p>
    <w:p w14:paraId="71DFE62F" w14:textId="77777777" w:rsidR="00033AFC" w:rsidRPr="00033AFC" w:rsidRDefault="00033AFC" w:rsidP="00033AFC">
      <w:pPr>
        <w:rPr>
          <w:rFonts w:asciiTheme="minorHAnsi" w:eastAsia="Times New Roman" w:hAnsiTheme="minorHAnsi" w:cstheme="minorHAnsi"/>
          <w:sz w:val="24"/>
          <w:lang w:eastAsia="en-GB"/>
        </w:rPr>
      </w:pPr>
      <w:r w:rsidRPr="00033AFC">
        <w:rPr>
          <w:rFonts w:asciiTheme="minorHAnsi" w:eastAsia="Times New Roman" w:hAnsiTheme="minorHAnsi" w:cstheme="minorHAnsi"/>
          <w:sz w:val="24"/>
          <w:lang w:eastAsia="en-GB"/>
        </w:rPr>
        <w:t>All rights reserved. No part of this publication, including registered trademarks and protected designs, may be reproduced in any material form without written permission from the Department for Education.</w:t>
      </w:r>
    </w:p>
    <w:p w14:paraId="358E8DE3" w14:textId="77777777" w:rsidR="00033AFC" w:rsidRPr="00033AFC" w:rsidRDefault="00033AFC" w:rsidP="00033AFC">
      <w:pPr>
        <w:rPr>
          <w:rFonts w:asciiTheme="minorHAnsi" w:eastAsia="Times New Roman" w:hAnsiTheme="minorHAnsi" w:cstheme="minorHAnsi"/>
          <w:sz w:val="24"/>
          <w:lang w:eastAsia="en-GB"/>
        </w:rPr>
      </w:pPr>
    </w:p>
    <w:p w14:paraId="38E61E33" w14:textId="77777777" w:rsidR="00033AFC" w:rsidRPr="00033AFC" w:rsidRDefault="00033AFC" w:rsidP="00033AFC">
      <w:pPr>
        <w:rPr>
          <w:rFonts w:asciiTheme="minorHAnsi" w:eastAsia="Times New Roman" w:hAnsiTheme="minorHAnsi" w:cstheme="minorHAnsi"/>
          <w:sz w:val="24"/>
          <w:lang w:eastAsia="en-GB"/>
        </w:rPr>
      </w:pPr>
      <w:r w:rsidRPr="00033AFC">
        <w:rPr>
          <w:rFonts w:asciiTheme="minorHAnsi" w:eastAsia="Times New Roman" w:hAnsiTheme="minorHAnsi" w:cstheme="minorHAnsi"/>
          <w:sz w:val="24"/>
          <w:lang w:eastAsia="en-GB"/>
        </w:rPr>
        <w:t xml:space="preserve">The </w:t>
      </w:r>
      <w:r w:rsidRPr="00033AFC">
        <w:rPr>
          <w:rFonts w:asciiTheme="minorHAnsi" w:eastAsia="Times New Roman" w:hAnsiTheme="minorHAnsi" w:cstheme="minorHAnsi"/>
          <w:b/>
          <w:sz w:val="24"/>
          <w:lang w:eastAsia="en-GB"/>
        </w:rPr>
        <w:t>matrix</w:t>
      </w:r>
      <w:r w:rsidRPr="00033AFC">
        <w:rPr>
          <w:rFonts w:asciiTheme="minorHAnsi" w:eastAsia="Times New Roman" w:hAnsiTheme="minorHAnsi" w:cstheme="minorHAnsi"/>
          <w:sz w:val="24"/>
          <w:lang w:eastAsia="en-GB"/>
        </w:rPr>
        <w:t xml:space="preserve"> Standard logo and all intellectual property rights in it are Crown property. Materials and documents carrying the </w:t>
      </w:r>
      <w:r w:rsidRPr="00033AFC">
        <w:rPr>
          <w:rFonts w:asciiTheme="minorHAnsi" w:eastAsia="Times New Roman" w:hAnsiTheme="minorHAnsi" w:cstheme="minorHAnsi"/>
          <w:b/>
          <w:sz w:val="24"/>
          <w:lang w:eastAsia="en-GB"/>
        </w:rPr>
        <w:t>matrix</w:t>
      </w:r>
      <w:r w:rsidRPr="00033AFC">
        <w:rPr>
          <w:rFonts w:asciiTheme="minorHAnsi" w:eastAsia="Times New Roman" w:hAnsiTheme="minorHAnsi" w:cstheme="minorHAnsi"/>
          <w:sz w:val="24"/>
          <w:lang w:eastAsia="en-GB"/>
        </w:rPr>
        <w:t xml:space="preserve"> Standard logo may not be reproduced without the approval of the Department for Education – copyright exists, and all rights reserved. The </w:t>
      </w:r>
      <w:r w:rsidRPr="00033AFC">
        <w:rPr>
          <w:rFonts w:asciiTheme="minorHAnsi" w:eastAsia="Times New Roman" w:hAnsiTheme="minorHAnsi" w:cstheme="minorHAnsi"/>
          <w:b/>
          <w:sz w:val="24"/>
          <w:lang w:eastAsia="en-GB"/>
        </w:rPr>
        <w:t>matrix</w:t>
      </w:r>
      <w:r w:rsidRPr="00033AFC">
        <w:rPr>
          <w:rFonts w:asciiTheme="minorHAnsi" w:eastAsia="Times New Roman" w:hAnsiTheme="minorHAnsi" w:cstheme="minorHAnsi"/>
          <w:sz w:val="24"/>
          <w:lang w:eastAsia="en-GB"/>
        </w:rPr>
        <w:t xml:space="preserve"> Standard logo is a registered trademark of the Secretary of State for Education.</w:t>
      </w:r>
    </w:p>
    <w:p w14:paraId="06A9B718" w14:textId="77777777" w:rsidR="00DC0CB0" w:rsidRPr="001E6C02" w:rsidRDefault="00DC0CB0" w:rsidP="002217F7">
      <w:pPr>
        <w:rPr>
          <w:rFonts w:asciiTheme="minorHAnsi" w:eastAsia="Times New Roman" w:hAnsiTheme="minorHAnsi" w:cstheme="minorHAnsi"/>
          <w:sz w:val="24"/>
          <w:lang w:eastAsia="en-GB"/>
        </w:rPr>
      </w:pPr>
    </w:p>
    <w:p w14:paraId="6D447394" w14:textId="3D8AE5E1" w:rsidR="00DC0CB0" w:rsidRDefault="001E6C02" w:rsidP="002217F7">
      <w:pPr>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 xml:space="preserve">The </w:t>
      </w:r>
      <w:r w:rsidRPr="00B70D95">
        <w:rPr>
          <w:rFonts w:asciiTheme="minorHAnsi" w:eastAsia="Times New Roman" w:hAnsiTheme="minorHAnsi" w:cstheme="minorHAnsi"/>
          <w:b/>
          <w:bCs/>
          <w:sz w:val="24"/>
          <w:lang w:eastAsia="en-GB"/>
        </w:rPr>
        <w:t>matrix</w:t>
      </w:r>
      <w:r>
        <w:rPr>
          <w:rFonts w:asciiTheme="minorHAnsi" w:eastAsia="Times New Roman" w:hAnsiTheme="minorHAnsi" w:cstheme="minorHAnsi"/>
          <w:sz w:val="24"/>
          <w:lang w:eastAsia="en-GB"/>
        </w:rPr>
        <w:t xml:space="preserve"> Standard </w:t>
      </w:r>
      <w:r w:rsidR="00266C20">
        <w:rPr>
          <w:rFonts w:asciiTheme="minorHAnsi" w:eastAsia="Times New Roman" w:hAnsiTheme="minorHAnsi" w:cstheme="minorHAnsi"/>
          <w:sz w:val="24"/>
          <w:lang w:eastAsia="en-GB"/>
        </w:rPr>
        <w:t>is delivered by The Growth Company on behalf of the Depa</w:t>
      </w:r>
      <w:r w:rsidR="00B70D95">
        <w:rPr>
          <w:rFonts w:asciiTheme="minorHAnsi" w:eastAsia="Times New Roman" w:hAnsiTheme="minorHAnsi" w:cstheme="minorHAnsi"/>
          <w:sz w:val="24"/>
          <w:lang w:eastAsia="en-GB"/>
        </w:rPr>
        <w:t>rtment for Education</w:t>
      </w:r>
    </w:p>
    <w:p w14:paraId="1CB27971" w14:textId="77777777" w:rsidR="00B70D95" w:rsidRDefault="00B70D95" w:rsidP="002217F7">
      <w:pPr>
        <w:rPr>
          <w:rFonts w:asciiTheme="minorHAnsi" w:eastAsia="Times New Roman" w:hAnsiTheme="minorHAnsi" w:cstheme="minorHAnsi"/>
          <w:sz w:val="24"/>
          <w:lang w:eastAsia="en-GB"/>
        </w:rPr>
      </w:pPr>
    </w:p>
    <w:p w14:paraId="6D55A87D" w14:textId="04C99BBC" w:rsidR="00B70D95" w:rsidRDefault="00090761" w:rsidP="002217F7">
      <w:pPr>
        <w:rPr>
          <w:rFonts w:asciiTheme="minorHAnsi" w:eastAsia="Times New Roman" w:hAnsiTheme="minorHAnsi" w:cstheme="minorHAnsi"/>
          <w:sz w:val="24"/>
          <w:lang w:eastAsia="en-GB"/>
        </w:rPr>
      </w:pPr>
      <w:r w:rsidRPr="009A3332">
        <w:rPr>
          <w:rFonts w:asciiTheme="minorHAnsi" w:eastAsia="Times New Roman" w:hAnsiTheme="minorHAnsi" w:cstheme="minorHAnsi"/>
          <w:b/>
          <w:bCs/>
          <w:sz w:val="24"/>
          <w:lang w:eastAsia="en-GB"/>
        </w:rPr>
        <w:t>e:</w:t>
      </w:r>
      <w:r w:rsidR="00B70D95">
        <w:rPr>
          <w:rFonts w:asciiTheme="minorHAnsi" w:eastAsia="Times New Roman" w:hAnsiTheme="minorHAnsi" w:cstheme="minorHAnsi"/>
          <w:sz w:val="24"/>
          <w:lang w:eastAsia="en-GB"/>
        </w:rPr>
        <w:t xml:space="preserve"> </w:t>
      </w:r>
      <w:hyperlink r:id="rId22" w:history="1">
        <w:r w:rsidRPr="008D38F8">
          <w:rPr>
            <w:rStyle w:val="Hyperlink"/>
            <w:rFonts w:asciiTheme="minorHAnsi" w:eastAsia="Times New Roman" w:hAnsiTheme="minorHAnsi" w:cstheme="minorHAnsi"/>
            <w:sz w:val="24"/>
            <w:lang w:eastAsia="en-GB"/>
          </w:rPr>
          <w:t>matrixStandard@growthco.uk</w:t>
        </w:r>
      </w:hyperlink>
    </w:p>
    <w:p w14:paraId="105E5C6A" w14:textId="097750C1" w:rsidR="00090761" w:rsidRDefault="00090761" w:rsidP="002217F7">
      <w:pPr>
        <w:rPr>
          <w:rFonts w:asciiTheme="minorHAnsi" w:eastAsia="Times New Roman" w:hAnsiTheme="minorHAnsi" w:cstheme="minorHAnsi"/>
          <w:sz w:val="24"/>
          <w:lang w:eastAsia="en-GB"/>
        </w:rPr>
      </w:pPr>
      <w:r w:rsidRPr="009A3332">
        <w:rPr>
          <w:rFonts w:asciiTheme="minorHAnsi" w:eastAsia="Times New Roman" w:hAnsiTheme="minorHAnsi" w:cstheme="minorHAnsi"/>
          <w:b/>
          <w:bCs/>
          <w:sz w:val="24"/>
          <w:lang w:eastAsia="en-GB"/>
        </w:rPr>
        <w:t>t:</w:t>
      </w:r>
      <w:r>
        <w:rPr>
          <w:rFonts w:asciiTheme="minorHAnsi" w:eastAsia="Times New Roman" w:hAnsiTheme="minorHAnsi" w:cstheme="minorHAnsi"/>
          <w:sz w:val="24"/>
          <w:lang w:eastAsia="en-GB"/>
        </w:rPr>
        <w:t xml:space="preserve"> 01423 22</w:t>
      </w:r>
      <w:r w:rsidR="009A3332">
        <w:rPr>
          <w:rFonts w:asciiTheme="minorHAnsi" w:eastAsia="Times New Roman" w:hAnsiTheme="minorHAnsi" w:cstheme="minorHAnsi"/>
          <w:sz w:val="24"/>
          <w:lang w:eastAsia="en-GB"/>
        </w:rPr>
        <w:t>9665</w:t>
      </w:r>
    </w:p>
    <w:p w14:paraId="48D7339A" w14:textId="77777777" w:rsidR="00090761" w:rsidRPr="001E6C02" w:rsidRDefault="00090761" w:rsidP="002217F7">
      <w:pPr>
        <w:rPr>
          <w:rFonts w:asciiTheme="minorHAnsi" w:eastAsia="Times New Roman" w:hAnsiTheme="minorHAnsi" w:cstheme="minorHAnsi"/>
          <w:sz w:val="24"/>
          <w:lang w:eastAsia="en-GB"/>
        </w:rPr>
      </w:pPr>
    </w:p>
    <w:sectPr w:rsidR="00090761" w:rsidRPr="001E6C02" w:rsidSect="006C484E">
      <w:headerReference w:type="default" r:id="rId23"/>
      <w:footerReference w:type="default" r:id="rId24"/>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D751" w14:textId="77777777" w:rsidR="005048C1" w:rsidRDefault="005048C1" w:rsidP="00B86711">
      <w:r>
        <w:separator/>
      </w:r>
    </w:p>
  </w:endnote>
  <w:endnote w:type="continuationSeparator" w:id="0">
    <w:p w14:paraId="3F7E74D5" w14:textId="77777777" w:rsidR="005048C1" w:rsidRDefault="005048C1" w:rsidP="00B86711">
      <w:r>
        <w:continuationSeparator/>
      </w:r>
    </w:p>
  </w:endnote>
  <w:endnote w:type="continuationNotice" w:id="1">
    <w:p w14:paraId="5EE33947" w14:textId="77777777" w:rsidR="005048C1" w:rsidRDefault="00504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5B9D" w14:textId="138FBFD5" w:rsidR="00EE4DB5" w:rsidRDefault="009F0768" w:rsidP="0081674F">
    <w:pPr>
      <w:tabs>
        <w:tab w:val="right" w:pos="9498"/>
      </w:tabs>
    </w:pPr>
    <w:r>
      <w:rPr>
        <w:color w:val="2B579A"/>
        <w:shd w:val="clear" w:color="auto" w:fill="E6E6E6"/>
      </w:rPr>
      <w:pict w14:anchorId="31E7070D">
        <v:rect id="_x0000_i1025" style="width:481.6pt;height:1.5pt" o:hralign="center" o:hrstd="t" o:hrnoshade="t" o:hr="t" fillcolor="#003087" stroked="f"/>
      </w:pict>
    </w:r>
  </w:p>
  <w:p w14:paraId="3DFEE0F3" w14:textId="4D67FF93" w:rsidR="00EE4DB5" w:rsidRDefault="00EE4DB5" w:rsidP="006C484E">
    <w:pPr>
      <w:tabs>
        <w:tab w:val="right" w:pos="9632"/>
      </w:tabs>
    </w:pPr>
    <w:r>
      <w:rPr>
        <w:color w:val="2B579A"/>
        <w:shd w:val="clear" w:color="auto" w:fill="E6E6E6"/>
      </w:rPr>
      <w:fldChar w:fldCharType="begin"/>
    </w:r>
    <w:r>
      <w:instrText xml:space="preserve"> PAGE   \* MERGEFORMAT </w:instrText>
    </w:r>
    <w:r>
      <w:rPr>
        <w:color w:val="2B579A"/>
        <w:shd w:val="clear" w:color="auto" w:fill="E6E6E6"/>
      </w:rPr>
      <w:fldChar w:fldCharType="separate"/>
    </w:r>
    <w:r>
      <w:t>4</w:t>
    </w:r>
    <w:r>
      <w:rPr>
        <w:b/>
        <w:color w:val="2B579A"/>
        <w:shd w:val="clear" w:color="auto" w:fill="E6E6E6"/>
      </w:rPr>
      <w:fldChar w:fldCharType="end"/>
    </w:r>
    <w:r>
      <w:rPr>
        <w:b/>
        <w:bCs/>
      </w:rPr>
      <w:t xml:space="preserve"> | </w:t>
    </w:r>
    <w:r w:rsidRPr="001E45AD">
      <w:rPr>
        <w:color w:val="000000" w:themeColor="text1"/>
        <w:spacing w:val="60"/>
      </w:rPr>
      <w:t>Page</w:t>
    </w:r>
    <w:r w:rsidRPr="001E45AD">
      <w:rPr>
        <w:color w:val="000000" w:themeColor="text1"/>
        <w:spacing w:val="60"/>
      </w:rPr>
      <w:tab/>
    </w:r>
    <w:r w:rsidRPr="00892088">
      <w:t xml:space="preserve">Review of the </w:t>
    </w:r>
    <w:r w:rsidRPr="006C484E">
      <w:rPr>
        <w:b/>
        <w:bCs/>
      </w:rPr>
      <w:t>matrix</w:t>
    </w:r>
    <w:r w:rsidRPr="00892088">
      <w:t xml:space="preserve"> Standard Final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EC4C" w14:textId="700F7A56" w:rsidR="00EE4DB5" w:rsidRDefault="009F0768" w:rsidP="00503367">
    <w:pPr>
      <w:tabs>
        <w:tab w:val="right" w:pos="9498"/>
      </w:tabs>
    </w:pPr>
    <w:r>
      <w:rPr>
        <w:color w:val="2B579A"/>
        <w:shd w:val="clear" w:color="auto" w:fill="E6E6E6"/>
      </w:rPr>
      <w:pict w14:anchorId="0162CAE0">
        <v:rect id="_x0000_i1026" style="width:481.6pt;height:1.5pt" o:hralign="center" o:hrstd="t" o:hrnoshade="t" o:hr="t" fillcolor="#003087" stroked="f"/>
      </w:pict>
    </w:r>
  </w:p>
  <w:p w14:paraId="202C8C58" w14:textId="29CF35F6" w:rsidR="00EE4DB5" w:rsidRPr="006C484E" w:rsidRDefault="00EE4DB5" w:rsidP="006C484E">
    <w:pPr>
      <w:tabs>
        <w:tab w:val="right" w:pos="9498"/>
      </w:tabs>
      <w:rPr>
        <w:color w:val="7F7F7F" w:themeColor="background1" w:themeShade="7F"/>
        <w:spacing w:val="60"/>
      </w:rPr>
    </w:pPr>
    <w:r>
      <w:rPr>
        <w:color w:val="2B579A"/>
        <w:shd w:val="clear" w:color="auto" w:fill="E6E6E6"/>
      </w:rPr>
      <w:fldChar w:fldCharType="begin"/>
    </w:r>
    <w:r>
      <w:instrText xml:space="preserve"> PAGE   \* MERGEFORMAT </w:instrText>
    </w:r>
    <w:r>
      <w:rPr>
        <w:color w:val="2B579A"/>
        <w:shd w:val="clear" w:color="auto" w:fill="E6E6E6"/>
      </w:rPr>
      <w:fldChar w:fldCharType="separate"/>
    </w:r>
    <w:r>
      <w:t>5</w:t>
    </w:r>
    <w:r>
      <w:rPr>
        <w:b/>
        <w:color w:val="2B579A"/>
        <w:shd w:val="clear" w:color="auto" w:fill="E6E6E6"/>
      </w:rPr>
      <w:fldChar w:fldCharType="end"/>
    </w:r>
    <w:r>
      <w:rPr>
        <w:b/>
        <w:bCs/>
      </w:rPr>
      <w:t xml:space="preserve"> | </w:t>
    </w:r>
    <w:r w:rsidRPr="001E45AD">
      <w:rPr>
        <w:color w:val="000000" w:themeColor="text1"/>
        <w:spacing w:val="60"/>
      </w:rPr>
      <w:t>Page</w:t>
    </w:r>
    <w:r w:rsidRPr="001E45AD">
      <w:rPr>
        <w:color w:val="000000" w:themeColor="text1"/>
        <w:spacing w:val="60"/>
      </w:rPr>
      <w:tab/>
    </w:r>
    <w:r w:rsidRPr="006C484E">
      <w:t xml:space="preserve">Review of the </w:t>
    </w:r>
    <w:r w:rsidRPr="006C484E">
      <w:rPr>
        <w:b/>
        <w:bCs/>
      </w:rPr>
      <w:t>matrix</w:t>
    </w:r>
    <w:r w:rsidRPr="006C484E">
      <w:t xml:space="preserve"> Standard Final Report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FAA9" w14:textId="617EA812" w:rsidR="00EE4DB5" w:rsidRDefault="009F0768" w:rsidP="0081674F">
    <w:pPr>
      <w:tabs>
        <w:tab w:val="right" w:pos="9498"/>
      </w:tabs>
    </w:pPr>
    <w:r>
      <w:rPr>
        <w:color w:val="2B579A"/>
        <w:shd w:val="clear" w:color="auto" w:fill="E6E6E6"/>
      </w:rPr>
      <w:pict w14:anchorId="08A4B2FB">
        <v:rect id="_x0000_i1027" style="width:728.6pt;height:1.5pt" o:hralign="center" o:hrstd="t" o:hrnoshade="t" o:hr="t" fillcolor="#003087" stroked="f"/>
      </w:pict>
    </w:r>
  </w:p>
  <w:p w14:paraId="2306F712" w14:textId="5183D2C0" w:rsidR="00EE4DB5" w:rsidRDefault="00EE4DB5" w:rsidP="00974F20">
    <w:pPr>
      <w:tabs>
        <w:tab w:val="center" w:pos="7286"/>
        <w:tab w:val="right" w:pos="14572"/>
      </w:tabs>
    </w:pPr>
    <w:r>
      <w:rPr>
        <w:color w:val="2B579A"/>
        <w:shd w:val="clear" w:color="auto" w:fill="E6E6E6"/>
      </w:rPr>
      <w:fldChar w:fldCharType="begin"/>
    </w:r>
    <w:r>
      <w:instrText xml:space="preserve"> PAGE   \* MERGEFORMAT </w:instrText>
    </w:r>
    <w:r>
      <w:rPr>
        <w:color w:val="2B579A"/>
        <w:shd w:val="clear" w:color="auto" w:fill="E6E6E6"/>
      </w:rPr>
      <w:fldChar w:fldCharType="separate"/>
    </w:r>
    <w:r>
      <w:t>4</w:t>
    </w:r>
    <w:r>
      <w:rPr>
        <w:b/>
        <w:color w:val="2B579A"/>
        <w:shd w:val="clear" w:color="auto" w:fill="E6E6E6"/>
      </w:rPr>
      <w:fldChar w:fldCharType="end"/>
    </w:r>
    <w:r>
      <w:rPr>
        <w:b/>
        <w:bCs/>
      </w:rPr>
      <w:t xml:space="preserve"> | </w:t>
    </w:r>
    <w:r w:rsidRPr="001E45AD">
      <w:rPr>
        <w:color w:val="000000" w:themeColor="text1"/>
        <w:spacing w:val="60"/>
      </w:rPr>
      <w:t>Page</w:t>
    </w:r>
    <w:r w:rsidRPr="001E45AD">
      <w:rPr>
        <w:color w:val="000000" w:themeColor="text1"/>
        <w:spacing w:val="60"/>
      </w:rPr>
      <w:tab/>
    </w:r>
    <w:r w:rsidRPr="001E45AD">
      <w:rPr>
        <w:color w:val="000000" w:themeColor="text1"/>
        <w:spacing w:val="60"/>
      </w:rPr>
      <w:tab/>
    </w:r>
    <w:r w:rsidRPr="00892088">
      <w:t xml:space="preserve">Review of the </w:t>
    </w:r>
    <w:r w:rsidRPr="006C484E">
      <w:rPr>
        <w:b/>
        <w:bCs/>
      </w:rPr>
      <w:t>matrix</w:t>
    </w:r>
    <w:r w:rsidRPr="00892088">
      <w:t xml:space="preserve"> Standard Final Report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9847" w14:textId="173E7FCB" w:rsidR="00EE4DB5" w:rsidRDefault="009F0768" w:rsidP="00974F20">
    <w:pPr>
      <w:tabs>
        <w:tab w:val="center" w:pos="7286"/>
        <w:tab w:val="right" w:pos="14572"/>
      </w:tabs>
    </w:pPr>
    <w:r>
      <w:rPr>
        <w:color w:val="2B579A"/>
        <w:shd w:val="clear" w:color="auto" w:fill="E6E6E6"/>
      </w:rPr>
      <w:pict w14:anchorId="1B8927AA">
        <v:rect id="_x0000_i1028" style="width:728.6pt;height:1.5pt" o:hralign="center" o:hrstd="t" o:hrnoshade="t" o:hr="t" fillcolor="#003087" stroked="f"/>
      </w:pict>
    </w:r>
  </w:p>
  <w:p w14:paraId="1EC29411" w14:textId="3827FDE6" w:rsidR="00EE4DB5" w:rsidRPr="006C484E" w:rsidRDefault="00EE4DB5" w:rsidP="00974F20">
    <w:pPr>
      <w:tabs>
        <w:tab w:val="center" w:pos="7286"/>
        <w:tab w:val="right" w:pos="14572"/>
      </w:tabs>
      <w:rPr>
        <w:color w:val="7F7F7F" w:themeColor="background1" w:themeShade="7F"/>
        <w:spacing w:val="60"/>
      </w:rPr>
    </w:pPr>
    <w:r>
      <w:rPr>
        <w:color w:val="2B579A"/>
        <w:shd w:val="clear" w:color="auto" w:fill="E6E6E6"/>
      </w:rPr>
      <w:fldChar w:fldCharType="begin"/>
    </w:r>
    <w:r>
      <w:instrText xml:space="preserve"> PAGE   \* MERGEFORMAT </w:instrText>
    </w:r>
    <w:r>
      <w:rPr>
        <w:color w:val="2B579A"/>
        <w:shd w:val="clear" w:color="auto" w:fill="E6E6E6"/>
      </w:rPr>
      <w:fldChar w:fldCharType="separate"/>
    </w:r>
    <w:r>
      <w:t>5</w:t>
    </w:r>
    <w:r>
      <w:rPr>
        <w:b/>
        <w:color w:val="2B579A"/>
        <w:shd w:val="clear" w:color="auto" w:fill="E6E6E6"/>
      </w:rPr>
      <w:fldChar w:fldCharType="end"/>
    </w:r>
    <w:r>
      <w:rPr>
        <w:b/>
        <w:bCs/>
      </w:rPr>
      <w:t xml:space="preserve"> | </w:t>
    </w:r>
    <w:r w:rsidRPr="001E45AD">
      <w:rPr>
        <w:color w:val="000000" w:themeColor="text1"/>
        <w:spacing w:val="60"/>
      </w:rPr>
      <w:t>Page</w:t>
    </w:r>
    <w:r w:rsidRPr="001E45AD">
      <w:rPr>
        <w:color w:val="000000" w:themeColor="text1"/>
        <w:spacing w:val="60"/>
      </w:rPr>
      <w:tab/>
    </w:r>
    <w:r w:rsidRPr="001E45AD">
      <w:rPr>
        <w:color w:val="000000" w:themeColor="text1"/>
        <w:spacing w:val="60"/>
      </w:rPr>
      <w:tab/>
    </w:r>
    <w:r w:rsidRPr="006C484E">
      <w:t xml:space="preserve">Review of the </w:t>
    </w:r>
    <w:r w:rsidRPr="006C484E">
      <w:rPr>
        <w:b/>
        <w:bCs/>
      </w:rPr>
      <w:t>matrix</w:t>
    </w:r>
    <w:r w:rsidRPr="006C484E">
      <w:t xml:space="preserve"> Standard Final Report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537B" w14:textId="6CFF89E0" w:rsidR="00EE4DB5" w:rsidRDefault="00EE4DB5" w:rsidP="00EA769C">
    <w:pPr>
      <w:tabs>
        <w:tab w:val="right" w:pos="94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AF95" w14:textId="77777777" w:rsidR="005048C1" w:rsidRDefault="005048C1" w:rsidP="00B86711">
      <w:r>
        <w:separator/>
      </w:r>
    </w:p>
  </w:footnote>
  <w:footnote w:type="continuationSeparator" w:id="0">
    <w:p w14:paraId="0ECFE968" w14:textId="77777777" w:rsidR="005048C1" w:rsidRDefault="005048C1" w:rsidP="00B86711">
      <w:r>
        <w:continuationSeparator/>
      </w:r>
    </w:p>
  </w:footnote>
  <w:footnote w:type="continuationNotice" w:id="1">
    <w:p w14:paraId="1CEF3D3D" w14:textId="77777777" w:rsidR="005048C1" w:rsidRDefault="005048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2F11" w14:textId="5A18BD84" w:rsidR="00EE4DB5" w:rsidRPr="006C484E" w:rsidRDefault="00EE4DB5" w:rsidP="006C484E">
    <w:pPr>
      <w:pStyle w:val="Header"/>
      <w:jc w:val="right"/>
      <w:rPr>
        <w:sz w:val="20"/>
        <w:szCs w:val="20"/>
      </w:rPr>
    </w:pPr>
  </w:p>
  <w:p w14:paraId="1CAD183F" w14:textId="77777777" w:rsidR="00EE4DB5" w:rsidRPr="006C484E" w:rsidRDefault="00EE4DB5">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FEC4" w14:textId="77777777" w:rsidR="00EE4DB5" w:rsidRDefault="00EE4DB5">
    <w:pPr>
      <w:pStyle w:val="Header"/>
    </w:pPr>
  </w:p>
</w:hdr>
</file>

<file path=word/intelligence2.xml><?xml version="1.0" encoding="utf-8"?>
<int2:intelligence xmlns:int2="http://schemas.microsoft.com/office/intelligence/2020/intelligence" xmlns:oel="http://schemas.microsoft.com/office/2019/extlst">
  <int2:observations>
    <int2:textHash int2:hashCode="NnYV10+yOvwfbK" int2:id="It3DAMvW">
      <int2:state int2:value="Rejected" int2:type="LegacyProofing"/>
    </int2:textHash>
    <int2:textHash int2:hashCode="8EK+BzDMePIdw7" int2:id="EJhbf8Iy">
      <int2:state int2:value="Rejected" int2:type="LegacyProofing"/>
    </int2:textHash>
    <int2:textHash int2:hashCode="rG6Krg82NTPuUs" int2:id="a8n8PRt3">
      <int2:state int2:value="Rejected" int2:type="LegacyProofing"/>
    </int2:textHash>
    <int2:textHash int2:hashCode="xmvjGSmhp52Xlu" int2:id="mYBK2Rb6">
      <int2:state int2:value="Rejected" int2:type="LegacyProofing"/>
    </int2:textHash>
    <int2:textHash int2:hashCode="GuTE98rN4L85Pe" int2:id="YV2Be0CU">
      <int2:state int2:value="Rejected" int2:type="LegacyProofing"/>
    </int2:textHash>
    <int2:textHash int2:hashCode="KfzsD5o42vPMZ0" int2:id="fq5KICto">
      <int2:state int2:value="Rejected" int2:type="LegacyProofing"/>
    </int2:textHash>
    <int2:textHash int2:hashCode="iKtVddT5N2ThaM" int2:id="qSO0hYV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960"/>
    <w:multiLevelType w:val="hybridMultilevel"/>
    <w:tmpl w:val="0FDE2A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F4489"/>
    <w:multiLevelType w:val="hybridMultilevel"/>
    <w:tmpl w:val="0BBA3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70A43"/>
    <w:multiLevelType w:val="hybridMultilevel"/>
    <w:tmpl w:val="9EA0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20145"/>
    <w:multiLevelType w:val="hybridMultilevel"/>
    <w:tmpl w:val="A84E690A"/>
    <w:lvl w:ilvl="0" w:tplc="04090017">
      <w:start w:val="1"/>
      <w:numFmt w:val="lowerLetter"/>
      <w:lvlText w:val="%1)"/>
      <w:lvlJc w:val="left"/>
      <w:pPr>
        <w:ind w:left="691" w:hanging="360"/>
      </w:pPr>
    </w:lvl>
    <w:lvl w:ilvl="1" w:tplc="08090019" w:tentative="1">
      <w:start w:val="1"/>
      <w:numFmt w:val="lowerLetter"/>
      <w:lvlText w:val="%2."/>
      <w:lvlJc w:val="left"/>
      <w:pPr>
        <w:ind w:left="1411" w:hanging="360"/>
      </w:pPr>
    </w:lvl>
    <w:lvl w:ilvl="2" w:tplc="0809001B" w:tentative="1">
      <w:start w:val="1"/>
      <w:numFmt w:val="lowerRoman"/>
      <w:lvlText w:val="%3."/>
      <w:lvlJc w:val="right"/>
      <w:pPr>
        <w:ind w:left="2131" w:hanging="180"/>
      </w:pPr>
    </w:lvl>
    <w:lvl w:ilvl="3" w:tplc="0809000F" w:tentative="1">
      <w:start w:val="1"/>
      <w:numFmt w:val="decimal"/>
      <w:lvlText w:val="%4."/>
      <w:lvlJc w:val="left"/>
      <w:pPr>
        <w:ind w:left="2851" w:hanging="360"/>
      </w:pPr>
    </w:lvl>
    <w:lvl w:ilvl="4" w:tplc="08090019" w:tentative="1">
      <w:start w:val="1"/>
      <w:numFmt w:val="lowerLetter"/>
      <w:lvlText w:val="%5."/>
      <w:lvlJc w:val="left"/>
      <w:pPr>
        <w:ind w:left="3571" w:hanging="360"/>
      </w:pPr>
    </w:lvl>
    <w:lvl w:ilvl="5" w:tplc="0809001B" w:tentative="1">
      <w:start w:val="1"/>
      <w:numFmt w:val="lowerRoman"/>
      <w:lvlText w:val="%6."/>
      <w:lvlJc w:val="right"/>
      <w:pPr>
        <w:ind w:left="4291" w:hanging="180"/>
      </w:pPr>
    </w:lvl>
    <w:lvl w:ilvl="6" w:tplc="0809000F" w:tentative="1">
      <w:start w:val="1"/>
      <w:numFmt w:val="decimal"/>
      <w:lvlText w:val="%7."/>
      <w:lvlJc w:val="left"/>
      <w:pPr>
        <w:ind w:left="5011" w:hanging="360"/>
      </w:pPr>
    </w:lvl>
    <w:lvl w:ilvl="7" w:tplc="08090019" w:tentative="1">
      <w:start w:val="1"/>
      <w:numFmt w:val="lowerLetter"/>
      <w:lvlText w:val="%8."/>
      <w:lvlJc w:val="left"/>
      <w:pPr>
        <w:ind w:left="5731" w:hanging="360"/>
      </w:pPr>
    </w:lvl>
    <w:lvl w:ilvl="8" w:tplc="0809001B" w:tentative="1">
      <w:start w:val="1"/>
      <w:numFmt w:val="lowerRoman"/>
      <w:lvlText w:val="%9."/>
      <w:lvlJc w:val="right"/>
      <w:pPr>
        <w:ind w:left="6451" w:hanging="180"/>
      </w:pPr>
    </w:lvl>
  </w:abstractNum>
  <w:abstractNum w:abstractNumId="4" w15:restartNumberingAfterBreak="0">
    <w:nsid w:val="09344C6B"/>
    <w:multiLevelType w:val="hybridMultilevel"/>
    <w:tmpl w:val="4D20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61777"/>
    <w:multiLevelType w:val="hybridMultilevel"/>
    <w:tmpl w:val="8438F7D6"/>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F060A7"/>
    <w:multiLevelType w:val="hybridMultilevel"/>
    <w:tmpl w:val="8126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30578"/>
    <w:multiLevelType w:val="hybridMultilevel"/>
    <w:tmpl w:val="883E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01D6D"/>
    <w:multiLevelType w:val="hybridMultilevel"/>
    <w:tmpl w:val="322C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00327"/>
    <w:multiLevelType w:val="hybridMultilevel"/>
    <w:tmpl w:val="99E2E5C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5619A1"/>
    <w:multiLevelType w:val="hybridMultilevel"/>
    <w:tmpl w:val="935A8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B777B7"/>
    <w:multiLevelType w:val="hybridMultilevel"/>
    <w:tmpl w:val="F5FA0C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F5714B"/>
    <w:multiLevelType w:val="hybridMultilevel"/>
    <w:tmpl w:val="2FFAD1D0"/>
    <w:lvl w:ilvl="0" w:tplc="5A0E3D08">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C6728"/>
    <w:multiLevelType w:val="hybridMultilevel"/>
    <w:tmpl w:val="6C86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C6A79"/>
    <w:multiLevelType w:val="hybridMultilevel"/>
    <w:tmpl w:val="DA6C0D6E"/>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5067BE"/>
    <w:multiLevelType w:val="hybridMultilevel"/>
    <w:tmpl w:val="41502BC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4A0DA0"/>
    <w:multiLevelType w:val="hybridMultilevel"/>
    <w:tmpl w:val="D5A6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A47EB"/>
    <w:multiLevelType w:val="hybridMultilevel"/>
    <w:tmpl w:val="B098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83A1D"/>
    <w:multiLevelType w:val="hybridMultilevel"/>
    <w:tmpl w:val="5B58B942"/>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2F3A0EBA"/>
    <w:multiLevelType w:val="hybridMultilevel"/>
    <w:tmpl w:val="3C30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651BD"/>
    <w:multiLevelType w:val="hybridMultilevel"/>
    <w:tmpl w:val="1D5E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86F55"/>
    <w:multiLevelType w:val="hybridMultilevel"/>
    <w:tmpl w:val="D8BE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F5C73"/>
    <w:multiLevelType w:val="hybridMultilevel"/>
    <w:tmpl w:val="01EC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F379C0"/>
    <w:multiLevelType w:val="hybridMultilevel"/>
    <w:tmpl w:val="3222C29C"/>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A15536"/>
    <w:multiLevelType w:val="hybridMultilevel"/>
    <w:tmpl w:val="8D94C774"/>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5CA4141"/>
    <w:multiLevelType w:val="hybridMultilevel"/>
    <w:tmpl w:val="37C0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591CF7"/>
    <w:multiLevelType w:val="hybridMultilevel"/>
    <w:tmpl w:val="D73EF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7E4617F"/>
    <w:multiLevelType w:val="hybridMultilevel"/>
    <w:tmpl w:val="189A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5F5226"/>
    <w:multiLevelType w:val="hybridMultilevel"/>
    <w:tmpl w:val="A550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29086B"/>
    <w:multiLevelType w:val="hybridMultilevel"/>
    <w:tmpl w:val="7A38526A"/>
    <w:lvl w:ilvl="0" w:tplc="46466B3A">
      <w:start w:val="1"/>
      <w:numFmt w:val="decimal"/>
      <w:lvlText w:val="%1."/>
      <w:lvlJc w:val="left"/>
      <w:pPr>
        <w:ind w:left="720" w:hanging="360"/>
      </w:pPr>
      <w:rPr>
        <w:rFonts w:hint="default"/>
        <w:color w:val="0030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AB007E"/>
    <w:multiLevelType w:val="hybridMultilevel"/>
    <w:tmpl w:val="30A4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D53605"/>
    <w:multiLevelType w:val="hybridMultilevel"/>
    <w:tmpl w:val="1DF6D6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913FBB"/>
    <w:multiLevelType w:val="hybridMultilevel"/>
    <w:tmpl w:val="38A2F2E6"/>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10479A8"/>
    <w:multiLevelType w:val="hybridMultilevel"/>
    <w:tmpl w:val="99DADA6C"/>
    <w:lvl w:ilvl="0" w:tplc="BE36AE84">
      <w:start w:val="1"/>
      <w:numFmt w:val="lowerLetter"/>
      <w:lvlText w:val="%1)"/>
      <w:lvlJc w:val="lef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4" w15:restartNumberingAfterBreak="0">
    <w:nsid w:val="41A4761E"/>
    <w:multiLevelType w:val="hybridMultilevel"/>
    <w:tmpl w:val="13F61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DE32BF"/>
    <w:multiLevelType w:val="hybridMultilevel"/>
    <w:tmpl w:val="CDC81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40D7C7E"/>
    <w:multiLevelType w:val="hybridMultilevel"/>
    <w:tmpl w:val="8438F7D6"/>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4801B60"/>
    <w:multiLevelType w:val="hybridMultilevel"/>
    <w:tmpl w:val="F2B4841C"/>
    <w:lvl w:ilvl="0" w:tplc="D298A46A">
      <w:start w:val="1"/>
      <w:numFmt w:val="bullet"/>
      <w:lvlText w:val=""/>
      <w:lvlJc w:val="left"/>
      <w:pPr>
        <w:ind w:left="720" w:hanging="360"/>
      </w:pPr>
      <w:rPr>
        <w:rFonts w:ascii="Symbol" w:hAnsi="Symbol" w:hint="default"/>
        <w:color w:val="0030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9B21A4"/>
    <w:multiLevelType w:val="hybridMultilevel"/>
    <w:tmpl w:val="0BBA3D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952184"/>
    <w:multiLevelType w:val="hybridMultilevel"/>
    <w:tmpl w:val="45067216"/>
    <w:lvl w:ilvl="0" w:tplc="1B48F296">
      <w:start w:val="1"/>
      <w:numFmt w:val="decimal"/>
      <w:pStyle w:val="Numb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6270A5B"/>
    <w:multiLevelType w:val="hybridMultilevel"/>
    <w:tmpl w:val="D018CC0E"/>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46F3102A"/>
    <w:multiLevelType w:val="hybridMultilevel"/>
    <w:tmpl w:val="99DADA6C"/>
    <w:lvl w:ilvl="0" w:tplc="BE36AE84">
      <w:start w:val="1"/>
      <w:numFmt w:val="lowerLetter"/>
      <w:lvlText w:val="%1)"/>
      <w:lvlJc w:val="lef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2" w15:restartNumberingAfterBreak="0">
    <w:nsid w:val="48FB057A"/>
    <w:multiLevelType w:val="hybridMultilevel"/>
    <w:tmpl w:val="A9188C1A"/>
    <w:lvl w:ilvl="0" w:tplc="F8BA9292">
      <w:start w:val="1"/>
      <w:numFmt w:val="bullet"/>
      <w:pStyle w:val="ListParagraph"/>
      <w:lvlText w:val=""/>
      <w:lvlJc w:val="left"/>
      <w:pPr>
        <w:ind w:left="720" w:hanging="360"/>
      </w:pPr>
      <w:rPr>
        <w:rFonts w:ascii="Symbol" w:hAnsi="Symbol" w:hint="default"/>
        <w:color w:val="0030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A463FD"/>
    <w:multiLevelType w:val="hybridMultilevel"/>
    <w:tmpl w:val="6BC2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141BF2"/>
    <w:multiLevelType w:val="hybridMultilevel"/>
    <w:tmpl w:val="75687596"/>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4B960C06"/>
    <w:multiLevelType w:val="hybridMultilevel"/>
    <w:tmpl w:val="EDBE2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C7B3D46"/>
    <w:multiLevelType w:val="hybridMultilevel"/>
    <w:tmpl w:val="8B16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415D0D"/>
    <w:multiLevelType w:val="hybridMultilevel"/>
    <w:tmpl w:val="A84E690A"/>
    <w:lvl w:ilvl="0" w:tplc="04090017">
      <w:start w:val="1"/>
      <w:numFmt w:val="lowerLetter"/>
      <w:lvlText w:val="%1)"/>
      <w:lvlJc w:val="left"/>
      <w:pPr>
        <w:ind w:left="691" w:hanging="360"/>
      </w:pPr>
    </w:lvl>
    <w:lvl w:ilvl="1" w:tplc="08090019" w:tentative="1">
      <w:start w:val="1"/>
      <w:numFmt w:val="lowerLetter"/>
      <w:lvlText w:val="%2."/>
      <w:lvlJc w:val="left"/>
      <w:pPr>
        <w:ind w:left="1411" w:hanging="360"/>
      </w:pPr>
    </w:lvl>
    <w:lvl w:ilvl="2" w:tplc="0809001B" w:tentative="1">
      <w:start w:val="1"/>
      <w:numFmt w:val="lowerRoman"/>
      <w:lvlText w:val="%3."/>
      <w:lvlJc w:val="right"/>
      <w:pPr>
        <w:ind w:left="2131" w:hanging="180"/>
      </w:pPr>
    </w:lvl>
    <w:lvl w:ilvl="3" w:tplc="0809000F" w:tentative="1">
      <w:start w:val="1"/>
      <w:numFmt w:val="decimal"/>
      <w:lvlText w:val="%4."/>
      <w:lvlJc w:val="left"/>
      <w:pPr>
        <w:ind w:left="2851" w:hanging="360"/>
      </w:pPr>
    </w:lvl>
    <w:lvl w:ilvl="4" w:tplc="08090019" w:tentative="1">
      <w:start w:val="1"/>
      <w:numFmt w:val="lowerLetter"/>
      <w:lvlText w:val="%5."/>
      <w:lvlJc w:val="left"/>
      <w:pPr>
        <w:ind w:left="3571" w:hanging="360"/>
      </w:pPr>
    </w:lvl>
    <w:lvl w:ilvl="5" w:tplc="0809001B" w:tentative="1">
      <w:start w:val="1"/>
      <w:numFmt w:val="lowerRoman"/>
      <w:lvlText w:val="%6."/>
      <w:lvlJc w:val="right"/>
      <w:pPr>
        <w:ind w:left="4291" w:hanging="180"/>
      </w:pPr>
    </w:lvl>
    <w:lvl w:ilvl="6" w:tplc="0809000F" w:tentative="1">
      <w:start w:val="1"/>
      <w:numFmt w:val="decimal"/>
      <w:lvlText w:val="%7."/>
      <w:lvlJc w:val="left"/>
      <w:pPr>
        <w:ind w:left="5011" w:hanging="360"/>
      </w:pPr>
    </w:lvl>
    <w:lvl w:ilvl="7" w:tplc="08090019" w:tentative="1">
      <w:start w:val="1"/>
      <w:numFmt w:val="lowerLetter"/>
      <w:lvlText w:val="%8."/>
      <w:lvlJc w:val="left"/>
      <w:pPr>
        <w:ind w:left="5731" w:hanging="360"/>
      </w:pPr>
    </w:lvl>
    <w:lvl w:ilvl="8" w:tplc="0809001B" w:tentative="1">
      <w:start w:val="1"/>
      <w:numFmt w:val="lowerRoman"/>
      <w:lvlText w:val="%9."/>
      <w:lvlJc w:val="right"/>
      <w:pPr>
        <w:ind w:left="6451" w:hanging="180"/>
      </w:pPr>
    </w:lvl>
  </w:abstractNum>
  <w:abstractNum w:abstractNumId="48" w15:restartNumberingAfterBreak="0">
    <w:nsid w:val="516674F0"/>
    <w:multiLevelType w:val="hybridMultilevel"/>
    <w:tmpl w:val="E4A65EDE"/>
    <w:lvl w:ilvl="0" w:tplc="08090001">
      <w:start w:val="1"/>
      <w:numFmt w:val="bullet"/>
      <w:lvlText w:val=""/>
      <w:lvlJc w:val="left"/>
      <w:pPr>
        <w:ind w:left="687" w:hanging="360"/>
      </w:pPr>
      <w:rPr>
        <w:rFonts w:ascii="Symbol" w:hAnsi="Symbol" w:hint="default"/>
      </w:rPr>
    </w:lvl>
    <w:lvl w:ilvl="1" w:tplc="08090003" w:tentative="1">
      <w:start w:val="1"/>
      <w:numFmt w:val="bullet"/>
      <w:lvlText w:val="o"/>
      <w:lvlJc w:val="left"/>
      <w:pPr>
        <w:ind w:left="1407" w:hanging="360"/>
      </w:pPr>
      <w:rPr>
        <w:rFonts w:ascii="Courier New" w:hAnsi="Courier New" w:cs="Courier New" w:hint="default"/>
      </w:rPr>
    </w:lvl>
    <w:lvl w:ilvl="2" w:tplc="08090005" w:tentative="1">
      <w:start w:val="1"/>
      <w:numFmt w:val="bullet"/>
      <w:lvlText w:val=""/>
      <w:lvlJc w:val="left"/>
      <w:pPr>
        <w:ind w:left="2127" w:hanging="360"/>
      </w:pPr>
      <w:rPr>
        <w:rFonts w:ascii="Wingdings" w:hAnsi="Wingdings" w:hint="default"/>
      </w:rPr>
    </w:lvl>
    <w:lvl w:ilvl="3" w:tplc="08090001" w:tentative="1">
      <w:start w:val="1"/>
      <w:numFmt w:val="bullet"/>
      <w:lvlText w:val=""/>
      <w:lvlJc w:val="left"/>
      <w:pPr>
        <w:ind w:left="2847" w:hanging="360"/>
      </w:pPr>
      <w:rPr>
        <w:rFonts w:ascii="Symbol" w:hAnsi="Symbol" w:hint="default"/>
      </w:rPr>
    </w:lvl>
    <w:lvl w:ilvl="4" w:tplc="08090003" w:tentative="1">
      <w:start w:val="1"/>
      <w:numFmt w:val="bullet"/>
      <w:lvlText w:val="o"/>
      <w:lvlJc w:val="left"/>
      <w:pPr>
        <w:ind w:left="3567" w:hanging="360"/>
      </w:pPr>
      <w:rPr>
        <w:rFonts w:ascii="Courier New" w:hAnsi="Courier New" w:cs="Courier New" w:hint="default"/>
      </w:rPr>
    </w:lvl>
    <w:lvl w:ilvl="5" w:tplc="08090005" w:tentative="1">
      <w:start w:val="1"/>
      <w:numFmt w:val="bullet"/>
      <w:lvlText w:val=""/>
      <w:lvlJc w:val="left"/>
      <w:pPr>
        <w:ind w:left="4287" w:hanging="360"/>
      </w:pPr>
      <w:rPr>
        <w:rFonts w:ascii="Wingdings" w:hAnsi="Wingdings" w:hint="default"/>
      </w:rPr>
    </w:lvl>
    <w:lvl w:ilvl="6" w:tplc="08090001" w:tentative="1">
      <w:start w:val="1"/>
      <w:numFmt w:val="bullet"/>
      <w:lvlText w:val=""/>
      <w:lvlJc w:val="left"/>
      <w:pPr>
        <w:ind w:left="5007" w:hanging="360"/>
      </w:pPr>
      <w:rPr>
        <w:rFonts w:ascii="Symbol" w:hAnsi="Symbol" w:hint="default"/>
      </w:rPr>
    </w:lvl>
    <w:lvl w:ilvl="7" w:tplc="08090003" w:tentative="1">
      <w:start w:val="1"/>
      <w:numFmt w:val="bullet"/>
      <w:lvlText w:val="o"/>
      <w:lvlJc w:val="left"/>
      <w:pPr>
        <w:ind w:left="5727" w:hanging="360"/>
      </w:pPr>
      <w:rPr>
        <w:rFonts w:ascii="Courier New" w:hAnsi="Courier New" w:cs="Courier New" w:hint="default"/>
      </w:rPr>
    </w:lvl>
    <w:lvl w:ilvl="8" w:tplc="08090005" w:tentative="1">
      <w:start w:val="1"/>
      <w:numFmt w:val="bullet"/>
      <w:lvlText w:val=""/>
      <w:lvlJc w:val="left"/>
      <w:pPr>
        <w:ind w:left="6447" w:hanging="360"/>
      </w:pPr>
      <w:rPr>
        <w:rFonts w:ascii="Wingdings" w:hAnsi="Wingdings" w:hint="default"/>
      </w:rPr>
    </w:lvl>
  </w:abstractNum>
  <w:abstractNum w:abstractNumId="49" w15:restartNumberingAfterBreak="0">
    <w:nsid w:val="57BD3BE6"/>
    <w:multiLevelType w:val="hybridMultilevel"/>
    <w:tmpl w:val="5DB4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D7695E"/>
    <w:multiLevelType w:val="hybridMultilevel"/>
    <w:tmpl w:val="23B2E322"/>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AB923F7"/>
    <w:multiLevelType w:val="hybridMultilevel"/>
    <w:tmpl w:val="CCE06D1A"/>
    <w:lvl w:ilvl="0" w:tplc="0AB057FE">
      <w:start w:val="1"/>
      <w:numFmt w:val="bullet"/>
      <w:lvlText w:val="•"/>
      <w:lvlJc w:val="left"/>
      <w:pPr>
        <w:tabs>
          <w:tab w:val="num" w:pos="720"/>
        </w:tabs>
        <w:ind w:left="720" w:hanging="360"/>
      </w:pPr>
      <w:rPr>
        <w:rFonts w:ascii="Arial" w:hAnsi="Arial" w:hint="default"/>
      </w:rPr>
    </w:lvl>
    <w:lvl w:ilvl="1" w:tplc="336E8B3A" w:tentative="1">
      <w:start w:val="1"/>
      <w:numFmt w:val="bullet"/>
      <w:lvlText w:val="•"/>
      <w:lvlJc w:val="left"/>
      <w:pPr>
        <w:tabs>
          <w:tab w:val="num" w:pos="1440"/>
        </w:tabs>
        <w:ind w:left="1440" w:hanging="360"/>
      </w:pPr>
      <w:rPr>
        <w:rFonts w:ascii="Arial" w:hAnsi="Arial" w:hint="default"/>
      </w:rPr>
    </w:lvl>
    <w:lvl w:ilvl="2" w:tplc="D07825B8" w:tentative="1">
      <w:start w:val="1"/>
      <w:numFmt w:val="bullet"/>
      <w:lvlText w:val="•"/>
      <w:lvlJc w:val="left"/>
      <w:pPr>
        <w:tabs>
          <w:tab w:val="num" w:pos="2160"/>
        </w:tabs>
        <w:ind w:left="2160" w:hanging="360"/>
      </w:pPr>
      <w:rPr>
        <w:rFonts w:ascii="Arial" w:hAnsi="Arial" w:hint="default"/>
      </w:rPr>
    </w:lvl>
    <w:lvl w:ilvl="3" w:tplc="84647E46" w:tentative="1">
      <w:start w:val="1"/>
      <w:numFmt w:val="bullet"/>
      <w:lvlText w:val="•"/>
      <w:lvlJc w:val="left"/>
      <w:pPr>
        <w:tabs>
          <w:tab w:val="num" w:pos="2880"/>
        </w:tabs>
        <w:ind w:left="2880" w:hanging="360"/>
      </w:pPr>
      <w:rPr>
        <w:rFonts w:ascii="Arial" w:hAnsi="Arial" w:hint="default"/>
      </w:rPr>
    </w:lvl>
    <w:lvl w:ilvl="4" w:tplc="BCD6D788" w:tentative="1">
      <w:start w:val="1"/>
      <w:numFmt w:val="bullet"/>
      <w:lvlText w:val="•"/>
      <w:lvlJc w:val="left"/>
      <w:pPr>
        <w:tabs>
          <w:tab w:val="num" w:pos="3600"/>
        </w:tabs>
        <w:ind w:left="3600" w:hanging="360"/>
      </w:pPr>
      <w:rPr>
        <w:rFonts w:ascii="Arial" w:hAnsi="Arial" w:hint="default"/>
      </w:rPr>
    </w:lvl>
    <w:lvl w:ilvl="5" w:tplc="305C8CEE" w:tentative="1">
      <w:start w:val="1"/>
      <w:numFmt w:val="bullet"/>
      <w:lvlText w:val="•"/>
      <w:lvlJc w:val="left"/>
      <w:pPr>
        <w:tabs>
          <w:tab w:val="num" w:pos="4320"/>
        </w:tabs>
        <w:ind w:left="4320" w:hanging="360"/>
      </w:pPr>
      <w:rPr>
        <w:rFonts w:ascii="Arial" w:hAnsi="Arial" w:hint="default"/>
      </w:rPr>
    </w:lvl>
    <w:lvl w:ilvl="6" w:tplc="EDE4CED4" w:tentative="1">
      <w:start w:val="1"/>
      <w:numFmt w:val="bullet"/>
      <w:lvlText w:val="•"/>
      <w:lvlJc w:val="left"/>
      <w:pPr>
        <w:tabs>
          <w:tab w:val="num" w:pos="5040"/>
        </w:tabs>
        <w:ind w:left="5040" w:hanging="360"/>
      </w:pPr>
      <w:rPr>
        <w:rFonts w:ascii="Arial" w:hAnsi="Arial" w:hint="default"/>
      </w:rPr>
    </w:lvl>
    <w:lvl w:ilvl="7" w:tplc="4F34D192" w:tentative="1">
      <w:start w:val="1"/>
      <w:numFmt w:val="bullet"/>
      <w:lvlText w:val="•"/>
      <w:lvlJc w:val="left"/>
      <w:pPr>
        <w:tabs>
          <w:tab w:val="num" w:pos="5760"/>
        </w:tabs>
        <w:ind w:left="5760" w:hanging="360"/>
      </w:pPr>
      <w:rPr>
        <w:rFonts w:ascii="Arial" w:hAnsi="Arial" w:hint="default"/>
      </w:rPr>
    </w:lvl>
    <w:lvl w:ilvl="8" w:tplc="7F92A12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D316D96"/>
    <w:multiLevelType w:val="hybridMultilevel"/>
    <w:tmpl w:val="AA04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A82778"/>
    <w:multiLevelType w:val="hybridMultilevel"/>
    <w:tmpl w:val="B8A4EE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3B55477"/>
    <w:multiLevelType w:val="hybridMultilevel"/>
    <w:tmpl w:val="1F30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453302"/>
    <w:multiLevelType w:val="hybridMultilevel"/>
    <w:tmpl w:val="2E00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7139FA"/>
    <w:multiLevelType w:val="hybridMultilevel"/>
    <w:tmpl w:val="0A42DC9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7" w15:restartNumberingAfterBreak="0">
    <w:nsid w:val="66EB0B57"/>
    <w:multiLevelType w:val="hybridMultilevel"/>
    <w:tmpl w:val="6DBE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93C5F53"/>
    <w:multiLevelType w:val="hybridMultilevel"/>
    <w:tmpl w:val="F16C56B6"/>
    <w:lvl w:ilvl="0" w:tplc="13BC8D64">
      <w:start w:val="1"/>
      <w:numFmt w:val="lowerLetter"/>
      <w:pStyle w:val="TableLetters"/>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A4A55F3"/>
    <w:multiLevelType w:val="hybridMultilevel"/>
    <w:tmpl w:val="23F018A0"/>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0" w15:restartNumberingAfterBreak="0">
    <w:nsid w:val="6A701F3E"/>
    <w:multiLevelType w:val="hybridMultilevel"/>
    <w:tmpl w:val="A52063A0"/>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6A812056"/>
    <w:multiLevelType w:val="hybridMultilevel"/>
    <w:tmpl w:val="7F4853E8"/>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B0C7B2F"/>
    <w:multiLevelType w:val="hybridMultilevel"/>
    <w:tmpl w:val="629EA4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B74052F"/>
    <w:multiLevelType w:val="hybridMultilevel"/>
    <w:tmpl w:val="2514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4F5C51"/>
    <w:multiLevelType w:val="hybridMultilevel"/>
    <w:tmpl w:val="89B2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D6B7E0B"/>
    <w:multiLevelType w:val="hybridMultilevel"/>
    <w:tmpl w:val="01D0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D9F33DE"/>
    <w:multiLevelType w:val="hybridMultilevel"/>
    <w:tmpl w:val="FE5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431577A"/>
    <w:multiLevelType w:val="hybridMultilevel"/>
    <w:tmpl w:val="0474212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5AC0872"/>
    <w:multiLevelType w:val="hybridMultilevel"/>
    <w:tmpl w:val="67CA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61676C6"/>
    <w:multiLevelType w:val="hybridMultilevel"/>
    <w:tmpl w:val="B05E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8FB0A3C"/>
    <w:multiLevelType w:val="hybridMultilevel"/>
    <w:tmpl w:val="69D2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9335A1F"/>
    <w:multiLevelType w:val="hybridMultilevel"/>
    <w:tmpl w:val="43F2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A697075"/>
    <w:multiLevelType w:val="hybridMultilevel"/>
    <w:tmpl w:val="D48224CC"/>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B09641E"/>
    <w:multiLevelType w:val="hybridMultilevel"/>
    <w:tmpl w:val="6E8A40B8"/>
    <w:lvl w:ilvl="0" w:tplc="08090001">
      <w:start w:val="1"/>
      <w:numFmt w:val="bullet"/>
      <w:pStyle w:val="Bullet"/>
      <w:lvlText w:val=""/>
      <w:lvlJc w:val="left"/>
      <w:pPr>
        <w:ind w:left="720" w:hanging="360"/>
      </w:pPr>
      <w:rPr>
        <w:rFonts w:ascii="Symbol" w:hAnsi="Symbol" w:hint="default"/>
        <w:color w:val="0030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F1652FB"/>
    <w:multiLevelType w:val="hybridMultilevel"/>
    <w:tmpl w:val="421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9834259">
    <w:abstractNumId w:val="20"/>
  </w:num>
  <w:num w:numId="2" w16cid:durableId="532302629">
    <w:abstractNumId w:val="7"/>
  </w:num>
  <w:num w:numId="3" w16cid:durableId="1560510171">
    <w:abstractNumId w:val="25"/>
  </w:num>
  <w:num w:numId="4" w16cid:durableId="1566914086">
    <w:abstractNumId w:val="63"/>
  </w:num>
  <w:num w:numId="5" w16cid:durableId="526062929">
    <w:abstractNumId w:val="61"/>
  </w:num>
  <w:num w:numId="6" w16cid:durableId="2077242799">
    <w:abstractNumId w:val="41"/>
  </w:num>
  <w:num w:numId="7" w16cid:durableId="1049066021">
    <w:abstractNumId w:val="3"/>
  </w:num>
  <w:num w:numId="8" w16cid:durableId="708148153">
    <w:abstractNumId w:val="15"/>
  </w:num>
  <w:num w:numId="9" w16cid:durableId="8023572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40273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7757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90580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40689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1777469">
    <w:abstractNumId w:val="14"/>
  </w:num>
  <w:num w:numId="15" w16cid:durableId="138771425">
    <w:abstractNumId w:val="67"/>
  </w:num>
  <w:num w:numId="16" w16cid:durableId="282657521">
    <w:abstractNumId w:val="23"/>
  </w:num>
  <w:num w:numId="17" w16cid:durableId="37821403">
    <w:abstractNumId w:val="36"/>
  </w:num>
  <w:num w:numId="18" w16cid:durableId="1765956568">
    <w:abstractNumId w:val="32"/>
  </w:num>
  <w:num w:numId="19" w16cid:durableId="408502120">
    <w:abstractNumId w:val="50"/>
  </w:num>
  <w:num w:numId="20" w16cid:durableId="297676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9203587">
    <w:abstractNumId w:val="62"/>
  </w:num>
  <w:num w:numId="22" w16cid:durableId="1811439311">
    <w:abstractNumId w:val="9"/>
  </w:num>
  <w:num w:numId="23" w16cid:durableId="789864697">
    <w:abstractNumId w:val="72"/>
  </w:num>
  <w:num w:numId="24" w16cid:durableId="714474608">
    <w:abstractNumId w:val="6"/>
  </w:num>
  <w:num w:numId="25" w16cid:durableId="1920599509">
    <w:abstractNumId w:val="66"/>
  </w:num>
  <w:num w:numId="26" w16cid:durableId="1497651423">
    <w:abstractNumId w:val="56"/>
  </w:num>
  <w:num w:numId="27" w16cid:durableId="1278220190">
    <w:abstractNumId w:val="19"/>
  </w:num>
  <w:num w:numId="28" w16cid:durableId="333918252">
    <w:abstractNumId w:val="4"/>
  </w:num>
  <w:num w:numId="29" w16cid:durableId="256982775">
    <w:abstractNumId w:val="48"/>
  </w:num>
  <w:num w:numId="30" w16cid:durableId="700939872">
    <w:abstractNumId w:val="21"/>
  </w:num>
  <w:num w:numId="31" w16cid:durableId="1798140354">
    <w:abstractNumId w:val="12"/>
  </w:num>
  <w:num w:numId="32" w16cid:durableId="1863014876">
    <w:abstractNumId w:val="57"/>
  </w:num>
  <w:num w:numId="33" w16cid:durableId="2029676731">
    <w:abstractNumId w:val="10"/>
  </w:num>
  <w:num w:numId="34" w16cid:durableId="1865710499">
    <w:abstractNumId w:val="51"/>
  </w:num>
  <w:num w:numId="35" w16cid:durableId="2136411806">
    <w:abstractNumId w:val="74"/>
  </w:num>
  <w:num w:numId="36" w16cid:durableId="1160392614">
    <w:abstractNumId w:val="45"/>
  </w:num>
  <w:num w:numId="37" w16cid:durableId="1564676890">
    <w:abstractNumId w:val="29"/>
  </w:num>
  <w:num w:numId="38" w16cid:durableId="1347831059">
    <w:abstractNumId w:val="46"/>
  </w:num>
  <w:num w:numId="39" w16cid:durableId="2046522507">
    <w:abstractNumId w:val="53"/>
  </w:num>
  <w:num w:numId="40" w16cid:durableId="99447659">
    <w:abstractNumId w:val="30"/>
  </w:num>
  <w:num w:numId="41" w16cid:durableId="682167001">
    <w:abstractNumId w:val="34"/>
  </w:num>
  <w:num w:numId="42" w16cid:durableId="345182756">
    <w:abstractNumId w:val="13"/>
  </w:num>
  <w:num w:numId="43" w16cid:durableId="979533415">
    <w:abstractNumId w:val="54"/>
  </w:num>
  <w:num w:numId="44" w16cid:durableId="722214868">
    <w:abstractNumId w:val="2"/>
  </w:num>
  <w:num w:numId="45" w16cid:durableId="1589658933">
    <w:abstractNumId w:val="64"/>
  </w:num>
  <w:num w:numId="46" w16cid:durableId="1435243449">
    <w:abstractNumId w:val="69"/>
  </w:num>
  <w:num w:numId="47" w16cid:durableId="168912779">
    <w:abstractNumId w:val="55"/>
  </w:num>
  <w:num w:numId="48" w16cid:durableId="2013407505">
    <w:abstractNumId w:val="52"/>
  </w:num>
  <w:num w:numId="49" w16cid:durableId="128280991">
    <w:abstractNumId w:val="17"/>
  </w:num>
  <w:num w:numId="50" w16cid:durableId="210850832">
    <w:abstractNumId w:val="22"/>
  </w:num>
  <w:num w:numId="51" w16cid:durableId="1459833070">
    <w:abstractNumId w:val="26"/>
  </w:num>
  <w:num w:numId="52" w16cid:durableId="311256296">
    <w:abstractNumId w:val="1"/>
  </w:num>
  <w:num w:numId="53" w16cid:durableId="1193761737">
    <w:abstractNumId w:val="38"/>
  </w:num>
  <w:num w:numId="54" w16cid:durableId="956302854">
    <w:abstractNumId w:val="35"/>
  </w:num>
  <w:num w:numId="55" w16cid:durableId="309138485">
    <w:abstractNumId w:val="0"/>
  </w:num>
  <w:num w:numId="56" w16cid:durableId="674303808">
    <w:abstractNumId w:val="70"/>
  </w:num>
  <w:num w:numId="57" w16cid:durableId="715084257">
    <w:abstractNumId w:val="31"/>
  </w:num>
  <w:num w:numId="58" w16cid:durableId="894969384">
    <w:abstractNumId w:val="11"/>
  </w:num>
  <w:num w:numId="59" w16cid:durableId="1077702064">
    <w:abstractNumId w:val="49"/>
  </w:num>
  <w:num w:numId="60" w16cid:durableId="129789819">
    <w:abstractNumId w:val="43"/>
  </w:num>
  <w:num w:numId="61" w16cid:durableId="1388186045">
    <w:abstractNumId w:val="65"/>
  </w:num>
  <w:num w:numId="62" w16cid:durableId="1232078491">
    <w:abstractNumId w:val="8"/>
  </w:num>
  <w:num w:numId="63" w16cid:durableId="1011906973">
    <w:abstractNumId w:val="71"/>
  </w:num>
  <w:num w:numId="64" w16cid:durableId="1758818948">
    <w:abstractNumId w:val="16"/>
  </w:num>
  <w:num w:numId="65" w16cid:durableId="1254975066">
    <w:abstractNumId w:val="27"/>
  </w:num>
  <w:num w:numId="66" w16cid:durableId="1546260335">
    <w:abstractNumId w:val="28"/>
  </w:num>
  <w:num w:numId="67" w16cid:durableId="1998344331">
    <w:abstractNumId w:val="68"/>
  </w:num>
  <w:num w:numId="68" w16cid:durableId="2000385335">
    <w:abstractNumId w:val="42"/>
  </w:num>
  <w:num w:numId="69" w16cid:durableId="1498156110">
    <w:abstractNumId w:val="37"/>
  </w:num>
  <w:num w:numId="70" w16cid:durableId="1771467008">
    <w:abstractNumId w:val="73"/>
  </w:num>
  <w:num w:numId="71" w16cid:durableId="749501209">
    <w:abstractNumId w:val="39"/>
  </w:num>
  <w:num w:numId="72" w16cid:durableId="1540632486">
    <w:abstractNumId w:val="39"/>
    <w:lvlOverride w:ilvl="0">
      <w:startOverride w:val="1"/>
    </w:lvlOverride>
  </w:num>
  <w:num w:numId="73" w16cid:durableId="849375993">
    <w:abstractNumId w:val="39"/>
    <w:lvlOverride w:ilvl="0">
      <w:startOverride w:val="1"/>
    </w:lvlOverride>
  </w:num>
  <w:num w:numId="74" w16cid:durableId="1861311670">
    <w:abstractNumId w:val="39"/>
    <w:lvlOverride w:ilvl="0">
      <w:startOverride w:val="1"/>
    </w:lvlOverride>
  </w:num>
  <w:num w:numId="75" w16cid:durableId="1060831827">
    <w:abstractNumId w:val="39"/>
    <w:lvlOverride w:ilvl="0">
      <w:startOverride w:val="1"/>
    </w:lvlOverride>
  </w:num>
  <w:num w:numId="76" w16cid:durableId="1590043563">
    <w:abstractNumId w:val="39"/>
    <w:lvlOverride w:ilvl="0">
      <w:startOverride w:val="1"/>
    </w:lvlOverride>
  </w:num>
  <w:num w:numId="77" w16cid:durableId="424807627">
    <w:abstractNumId w:val="58"/>
  </w:num>
  <w:num w:numId="78" w16cid:durableId="1943802381">
    <w:abstractNumId w:val="33"/>
  </w:num>
  <w:num w:numId="79" w16cid:durableId="1823621146">
    <w:abstractNumId w:val="47"/>
  </w:num>
  <w:num w:numId="80" w16cid:durableId="1679652856">
    <w:abstractNumId w:val="58"/>
    <w:lvlOverride w:ilvl="0">
      <w:startOverride w:val="1"/>
    </w:lvlOverride>
  </w:num>
  <w:num w:numId="81" w16cid:durableId="725374861">
    <w:abstractNumId w:val="58"/>
    <w:lvlOverride w:ilvl="0">
      <w:startOverride w:val="1"/>
    </w:lvlOverride>
  </w:num>
  <w:num w:numId="82" w16cid:durableId="1621834148">
    <w:abstractNumId w:val="58"/>
    <w:lvlOverride w:ilvl="0">
      <w:startOverride w:val="1"/>
    </w:lvlOverride>
  </w:num>
  <w:num w:numId="83" w16cid:durableId="1487285815">
    <w:abstractNumId w:val="58"/>
    <w:lvlOverride w:ilvl="0">
      <w:startOverride w:val="1"/>
    </w:lvlOverride>
  </w:num>
  <w:num w:numId="84" w16cid:durableId="20205505">
    <w:abstractNumId w:val="58"/>
    <w:lvlOverride w:ilvl="0">
      <w:startOverride w:val="1"/>
    </w:lvlOverride>
  </w:num>
  <w:num w:numId="85" w16cid:durableId="582835778">
    <w:abstractNumId w:val="58"/>
    <w:lvlOverride w:ilvl="0">
      <w:startOverride w:val="1"/>
    </w:lvlOverride>
  </w:num>
  <w:num w:numId="86" w16cid:durableId="1720855720">
    <w:abstractNumId w:val="58"/>
    <w:lvlOverride w:ilvl="0">
      <w:startOverride w:val="1"/>
    </w:lvlOverride>
  </w:num>
  <w:num w:numId="87" w16cid:durableId="83262788">
    <w:abstractNumId w:val="58"/>
    <w:lvlOverride w:ilvl="0">
      <w:startOverride w:val="1"/>
    </w:lvlOverride>
  </w:num>
  <w:num w:numId="88" w16cid:durableId="770322520">
    <w:abstractNumId w:val="58"/>
    <w:lvlOverride w:ilvl="0">
      <w:startOverride w:val="1"/>
    </w:lvlOverride>
  </w:num>
  <w:num w:numId="89" w16cid:durableId="5906637">
    <w:abstractNumId w:val="58"/>
    <w:lvlOverride w:ilvl="0">
      <w:startOverride w:val="1"/>
    </w:lvlOverride>
  </w:num>
  <w:num w:numId="90" w16cid:durableId="264730769">
    <w:abstractNumId w:val="58"/>
    <w:lvlOverride w:ilvl="0">
      <w:startOverride w:val="1"/>
    </w:lvlOverride>
  </w:num>
  <w:num w:numId="91" w16cid:durableId="1306546443">
    <w:abstractNumId w:val="58"/>
    <w:lvlOverride w:ilvl="0">
      <w:startOverride w:val="1"/>
    </w:lvlOverride>
  </w:num>
  <w:num w:numId="92" w16cid:durableId="327442362">
    <w:abstractNumId w:val="58"/>
    <w:lvlOverride w:ilvl="0">
      <w:startOverride w:val="1"/>
    </w:lvlOverride>
  </w:num>
  <w:num w:numId="93" w16cid:durableId="1024210808">
    <w:abstractNumId w:val="58"/>
    <w:lvlOverride w:ilvl="0">
      <w:startOverride w:val="1"/>
    </w:lvlOverride>
  </w:num>
  <w:num w:numId="94" w16cid:durableId="1363356673">
    <w:abstractNumId w:val="58"/>
    <w:lvlOverride w:ilvl="0">
      <w:startOverride w:val="1"/>
    </w:lvlOverride>
  </w:num>
  <w:num w:numId="95" w16cid:durableId="256717674">
    <w:abstractNumId w:val="58"/>
    <w:lvlOverride w:ilvl="0">
      <w:startOverride w:val="1"/>
    </w:lvlOverride>
  </w:num>
  <w:num w:numId="96" w16cid:durableId="1953825469">
    <w:abstractNumId w:val="58"/>
    <w:lvlOverride w:ilvl="0">
      <w:startOverride w:val="1"/>
    </w:lvlOverride>
  </w:num>
  <w:num w:numId="97" w16cid:durableId="1398941991">
    <w:abstractNumId w:val="58"/>
    <w:lvlOverride w:ilvl="0">
      <w:startOverride w:val="1"/>
    </w:lvlOverride>
  </w:num>
  <w:num w:numId="98" w16cid:durableId="1596400260">
    <w:abstractNumId w:val="58"/>
    <w:lvlOverride w:ilvl="0">
      <w:startOverride w:val="1"/>
    </w:lvlOverride>
  </w:num>
  <w:num w:numId="99" w16cid:durableId="105732179">
    <w:abstractNumId w:val="58"/>
    <w:lvlOverride w:ilvl="0">
      <w:startOverride w:val="1"/>
    </w:lvlOverride>
  </w:num>
  <w:num w:numId="100" w16cid:durableId="1860698142">
    <w:abstractNumId w:val="58"/>
    <w:lvlOverride w:ilvl="0">
      <w:startOverride w:val="1"/>
    </w:lvlOverride>
  </w:num>
  <w:num w:numId="101" w16cid:durableId="1863350930">
    <w:abstractNumId w:val="58"/>
    <w:lvlOverride w:ilvl="0">
      <w:startOverride w:val="1"/>
    </w:lvlOverride>
  </w:num>
  <w:num w:numId="102" w16cid:durableId="1476483699">
    <w:abstractNumId w:val="58"/>
    <w:lvlOverride w:ilvl="0">
      <w:startOverride w:val="1"/>
    </w:lvlOverride>
  </w:num>
  <w:num w:numId="103" w16cid:durableId="1924752216">
    <w:abstractNumId w:val="58"/>
    <w:lvlOverride w:ilvl="0">
      <w:startOverride w:val="1"/>
    </w:lvlOverride>
  </w:num>
  <w:num w:numId="104" w16cid:durableId="567157290">
    <w:abstractNumId w:val="58"/>
    <w:lvlOverride w:ilvl="0">
      <w:startOverride w:val="1"/>
    </w:lvlOverride>
  </w:num>
  <w:num w:numId="105" w16cid:durableId="812528487">
    <w:abstractNumId w:val="58"/>
    <w:lvlOverride w:ilvl="0">
      <w:startOverride w:val="1"/>
    </w:lvlOverride>
  </w:num>
  <w:num w:numId="106" w16cid:durableId="1227717610">
    <w:abstractNumId w:val="58"/>
    <w:lvlOverride w:ilvl="0">
      <w:startOverride w:val="1"/>
    </w:lvlOverride>
  </w:num>
  <w:num w:numId="107" w16cid:durableId="1160660179">
    <w:abstractNumId w:val="58"/>
    <w:lvlOverride w:ilvl="0">
      <w:startOverride w:val="1"/>
    </w:lvlOverride>
  </w:num>
  <w:num w:numId="108" w16cid:durableId="911502208">
    <w:abstractNumId w:val="58"/>
    <w:lvlOverride w:ilvl="0">
      <w:startOverride w:val="1"/>
    </w:lvlOverride>
  </w:num>
  <w:num w:numId="109" w16cid:durableId="214970864">
    <w:abstractNumId w:val="58"/>
    <w:lvlOverride w:ilvl="0">
      <w:startOverride w:val="1"/>
    </w:lvlOverride>
  </w:num>
  <w:num w:numId="110" w16cid:durableId="1646085597">
    <w:abstractNumId w:val="5"/>
  </w:num>
  <w:num w:numId="111" w16cid:durableId="1824850439">
    <w:abstractNumId w:val="58"/>
    <w:lvlOverride w:ilvl="0">
      <w:startOverride w:val="1"/>
    </w:lvlOverride>
  </w:num>
  <w:num w:numId="112" w16cid:durableId="1755202734">
    <w:abstractNumId w:val="58"/>
    <w:lvlOverride w:ilvl="0">
      <w:startOverride w:val="1"/>
    </w:lvlOverride>
  </w:num>
  <w:num w:numId="113" w16cid:durableId="1932858671">
    <w:abstractNumId w:val="58"/>
    <w:lvlOverride w:ilvl="0">
      <w:startOverride w:val="1"/>
    </w:lvlOverride>
  </w:num>
  <w:num w:numId="114" w16cid:durableId="246381048">
    <w:abstractNumId w:val="58"/>
    <w:lvlOverride w:ilvl="0">
      <w:startOverride w:val="1"/>
    </w:lvlOverride>
  </w:num>
  <w:num w:numId="115" w16cid:durableId="1273974596">
    <w:abstractNumId w:val="58"/>
    <w:lvlOverride w:ilvl="0">
      <w:startOverride w:val="1"/>
    </w:lvlOverride>
  </w:num>
  <w:num w:numId="116" w16cid:durableId="147135762">
    <w:abstractNumId w:val="7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88"/>
    <w:rsid w:val="00000FB7"/>
    <w:rsid w:val="000016C1"/>
    <w:rsid w:val="00001EB4"/>
    <w:rsid w:val="000023FC"/>
    <w:rsid w:val="0000412E"/>
    <w:rsid w:val="00004134"/>
    <w:rsid w:val="00004D91"/>
    <w:rsid w:val="0000526D"/>
    <w:rsid w:val="00006585"/>
    <w:rsid w:val="00006DEF"/>
    <w:rsid w:val="0000720F"/>
    <w:rsid w:val="00007C2C"/>
    <w:rsid w:val="00007EEA"/>
    <w:rsid w:val="000102C8"/>
    <w:rsid w:val="00010F35"/>
    <w:rsid w:val="000112A8"/>
    <w:rsid w:val="000139A1"/>
    <w:rsid w:val="00013FAA"/>
    <w:rsid w:val="0001454C"/>
    <w:rsid w:val="00014A29"/>
    <w:rsid w:val="00014D2C"/>
    <w:rsid w:val="0001508E"/>
    <w:rsid w:val="0001666F"/>
    <w:rsid w:val="00016D66"/>
    <w:rsid w:val="0001746C"/>
    <w:rsid w:val="00020667"/>
    <w:rsid w:val="00020753"/>
    <w:rsid w:val="000215C0"/>
    <w:rsid w:val="00022590"/>
    <w:rsid w:val="00022A39"/>
    <w:rsid w:val="00022D13"/>
    <w:rsid w:val="00023123"/>
    <w:rsid w:val="00023246"/>
    <w:rsid w:val="00023263"/>
    <w:rsid w:val="00023E53"/>
    <w:rsid w:val="00023ED4"/>
    <w:rsid w:val="00023F8A"/>
    <w:rsid w:val="00024419"/>
    <w:rsid w:val="0002533C"/>
    <w:rsid w:val="0002676A"/>
    <w:rsid w:val="00027809"/>
    <w:rsid w:val="00027EB8"/>
    <w:rsid w:val="000311C7"/>
    <w:rsid w:val="000320BB"/>
    <w:rsid w:val="000329D0"/>
    <w:rsid w:val="0003321A"/>
    <w:rsid w:val="00033572"/>
    <w:rsid w:val="0003362A"/>
    <w:rsid w:val="0003367B"/>
    <w:rsid w:val="00033975"/>
    <w:rsid w:val="00033AFC"/>
    <w:rsid w:val="00033D6A"/>
    <w:rsid w:val="00034AE5"/>
    <w:rsid w:val="00035BBD"/>
    <w:rsid w:val="000370A2"/>
    <w:rsid w:val="000373CD"/>
    <w:rsid w:val="00040614"/>
    <w:rsid w:val="00040AFA"/>
    <w:rsid w:val="00040CFE"/>
    <w:rsid w:val="000415F0"/>
    <w:rsid w:val="00042133"/>
    <w:rsid w:val="00042166"/>
    <w:rsid w:val="00042368"/>
    <w:rsid w:val="00043236"/>
    <w:rsid w:val="00044B89"/>
    <w:rsid w:val="000458EA"/>
    <w:rsid w:val="000462CD"/>
    <w:rsid w:val="000464B4"/>
    <w:rsid w:val="00047DDE"/>
    <w:rsid w:val="0005064C"/>
    <w:rsid w:val="00050F25"/>
    <w:rsid w:val="000517F0"/>
    <w:rsid w:val="00051B35"/>
    <w:rsid w:val="00052698"/>
    <w:rsid w:val="00053AE0"/>
    <w:rsid w:val="00053EF9"/>
    <w:rsid w:val="0005489C"/>
    <w:rsid w:val="000548D7"/>
    <w:rsid w:val="000565E0"/>
    <w:rsid w:val="00056850"/>
    <w:rsid w:val="00056894"/>
    <w:rsid w:val="000574E5"/>
    <w:rsid w:val="000575EA"/>
    <w:rsid w:val="00057740"/>
    <w:rsid w:val="00057C7B"/>
    <w:rsid w:val="00057CD5"/>
    <w:rsid w:val="00060D88"/>
    <w:rsid w:val="00061159"/>
    <w:rsid w:val="00061300"/>
    <w:rsid w:val="000617B6"/>
    <w:rsid w:val="00061D7B"/>
    <w:rsid w:val="00061E5C"/>
    <w:rsid w:val="00062158"/>
    <w:rsid w:val="0006370A"/>
    <w:rsid w:val="0006423C"/>
    <w:rsid w:val="00064C8C"/>
    <w:rsid w:val="0006579F"/>
    <w:rsid w:val="000660EE"/>
    <w:rsid w:val="0006627A"/>
    <w:rsid w:val="00066AA7"/>
    <w:rsid w:val="0006751A"/>
    <w:rsid w:val="000700E4"/>
    <w:rsid w:val="00070FBD"/>
    <w:rsid w:val="000740C9"/>
    <w:rsid w:val="00074814"/>
    <w:rsid w:val="00074C29"/>
    <w:rsid w:val="00076801"/>
    <w:rsid w:val="0007712E"/>
    <w:rsid w:val="000800B2"/>
    <w:rsid w:val="00080323"/>
    <w:rsid w:val="0008128B"/>
    <w:rsid w:val="00081353"/>
    <w:rsid w:val="00082075"/>
    <w:rsid w:val="00082241"/>
    <w:rsid w:val="000832F9"/>
    <w:rsid w:val="0008429E"/>
    <w:rsid w:val="00086624"/>
    <w:rsid w:val="00086AF3"/>
    <w:rsid w:val="00087263"/>
    <w:rsid w:val="00087CE9"/>
    <w:rsid w:val="00087E9A"/>
    <w:rsid w:val="00087FDC"/>
    <w:rsid w:val="00090662"/>
    <w:rsid w:val="00090761"/>
    <w:rsid w:val="00090D63"/>
    <w:rsid w:val="000911C0"/>
    <w:rsid w:val="00091511"/>
    <w:rsid w:val="000917E3"/>
    <w:rsid w:val="000918F3"/>
    <w:rsid w:val="00092407"/>
    <w:rsid w:val="00093074"/>
    <w:rsid w:val="000936C0"/>
    <w:rsid w:val="00093F5C"/>
    <w:rsid w:val="00095B30"/>
    <w:rsid w:val="00096BEE"/>
    <w:rsid w:val="000977B6"/>
    <w:rsid w:val="00097944"/>
    <w:rsid w:val="00097B36"/>
    <w:rsid w:val="000A158D"/>
    <w:rsid w:val="000A1955"/>
    <w:rsid w:val="000A2BE5"/>
    <w:rsid w:val="000A2E74"/>
    <w:rsid w:val="000A2EB4"/>
    <w:rsid w:val="000A3ED1"/>
    <w:rsid w:val="000A5A7E"/>
    <w:rsid w:val="000A5E21"/>
    <w:rsid w:val="000A6748"/>
    <w:rsid w:val="000A7391"/>
    <w:rsid w:val="000A74D1"/>
    <w:rsid w:val="000B1009"/>
    <w:rsid w:val="000B133E"/>
    <w:rsid w:val="000B15CE"/>
    <w:rsid w:val="000B1EBA"/>
    <w:rsid w:val="000B252F"/>
    <w:rsid w:val="000B2634"/>
    <w:rsid w:val="000B2B35"/>
    <w:rsid w:val="000B3190"/>
    <w:rsid w:val="000B44CD"/>
    <w:rsid w:val="000B4D98"/>
    <w:rsid w:val="000B5330"/>
    <w:rsid w:val="000B550F"/>
    <w:rsid w:val="000B5E04"/>
    <w:rsid w:val="000B5F5F"/>
    <w:rsid w:val="000B726E"/>
    <w:rsid w:val="000B7D8A"/>
    <w:rsid w:val="000C05C5"/>
    <w:rsid w:val="000C221B"/>
    <w:rsid w:val="000C2B31"/>
    <w:rsid w:val="000C2BD0"/>
    <w:rsid w:val="000C395E"/>
    <w:rsid w:val="000C3CA6"/>
    <w:rsid w:val="000C502D"/>
    <w:rsid w:val="000C59DA"/>
    <w:rsid w:val="000C5DE8"/>
    <w:rsid w:val="000C626B"/>
    <w:rsid w:val="000C64B4"/>
    <w:rsid w:val="000C6A0A"/>
    <w:rsid w:val="000D01F4"/>
    <w:rsid w:val="000D0706"/>
    <w:rsid w:val="000D079F"/>
    <w:rsid w:val="000D0EF8"/>
    <w:rsid w:val="000D151C"/>
    <w:rsid w:val="000D1EE5"/>
    <w:rsid w:val="000D2191"/>
    <w:rsid w:val="000D2326"/>
    <w:rsid w:val="000D3820"/>
    <w:rsid w:val="000D3AE8"/>
    <w:rsid w:val="000D42C1"/>
    <w:rsid w:val="000D4B24"/>
    <w:rsid w:val="000D5C09"/>
    <w:rsid w:val="000D5F68"/>
    <w:rsid w:val="000D6781"/>
    <w:rsid w:val="000D767C"/>
    <w:rsid w:val="000E06FC"/>
    <w:rsid w:val="000E0F51"/>
    <w:rsid w:val="000E16D5"/>
    <w:rsid w:val="000E5CD4"/>
    <w:rsid w:val="000E7C1B"/>
    <w:rsid w:val="000E7EC7"/>
    <w:rsid w:val="000F080F"/>
    <w:rsid w:val="000F3339"/>
    <w:rsid w:val="000F5174"/>
    <w:rsid w:val="000F54D8"/>
    <w:rsid w:val="000F5526"/>
    <w:rsid w:val="000F60D2"/>
    <w:rsid w:val="000F6A88"/>
    <w:rsid w:val="000F7FEC"/>
    <w:rsid w:val="0010039E"/>
    <w:rsid w:val="001018E6"/>
    <w:rsid w:val="001026ED"/>
    <w:rsid w:val="00102B00"/>
    <w:rsid w:val="00103035"/>
    <w:rsid w:val="00104186"/>
    <w:rsid w:val="001052E9"/>
    <w:rsid w:val="00105545"/>
    <w:rsid w:val="00105782"/>
    <w:rsid w:val="00105DE5"/>
    <w:rsid w:val="00106A83"/>
    <w:rsid w:val="00107E99"/>
    <w:rsid w:val="00110446"/>
    <w:rsid w:val="001107A5"/>
    <w:rsid w:val="00110DA9"/>
    <w:rsid w:val="00111AE8"/>
    <w:rsid w:val="00111C6C"/>
    <w:rsid w:val="00111C9C"/>
    <w:rsid w:val="00112161"/>
    <w:rsid w:val="001130DD"/>
    <w:rsid w:val="00113369"/>
    <w:rsid w:val="001133E8"/>
    <w:rsid w:val="00114801"/>
    <w:rsid w:val="00114CE0"/>
    <w:rsid w:val="0011611B"/>
    <w:rsid w:val="001167B2"/>
    <w:rsid w:val="001171AF"/>
    <w:rsid w:val="00117EA3"/>
    <w:rsid w:val="00120C17"/>
    <w:rsid w:val="00121D63"/>
    <w:rsid w:val="00121E42"/>
    <w:rsid w:val="0012230A"/>
    <w:rsid w:val="001230CF"/>
    <w:rsid w:val="001234EB"/>
    <w:rsid w:val="00123C72"/>
    <w:rsid w:val="00123D80"/>
    <w:rsid w:val="00123FEC"/>
    <w:rsid w:val="00124503"/>
    <w:rsid w:val="0012566F"/>
    <w:rsid w:val="001267F9"/>
    <w:rsid w:val="00126E99"/>
    <w:rsid w:val="001276E1"/>
    <w:rsid w:val="00130DB8"/>
    <w:rsid w:val="00131953"/>
    <w:rsid w:val="001345E1"/>
    <w:rsid w:val="001347C7"/>
    <w:rsid w:val="001355A1"/>
    <w:rsid w:val="00135F64"/>
    <w:rsid w:val="00136177"/>
    <w:rsid w:val="001369D4"/>
    <w:rsid w:val="001405BF"/>
    <w:rsid w:val="00140609"/>
    <w:rsid w:val="0014168A"/>
    <w:rsid w:val="0014199D"/>
    <w:rsid w:val="00141E81"/>
    <w:rsid w:val="0014293D"/>
    <w:rsid w:val="00142C2F"/>
    <w:rsid w:val="00143AF8"/>
    <w:rsid w:val="00143E3C"/>
    <w:rsid w:val="001440F2"/>
    <w:rsid w:val="00147570"/>
    <w:rsid w:val="00147D0F"/>
    <w:rsid w:val="00147E6E"/>
    <w:rsid w:val="0015041A"/>
    <w:rsid w:val="00152FD1"/>
    <w:rsid w:val="00153A6E"/>
    <w:rsid w:val="00153F8D"/>
    <w:rsid w:val="00154D00"/>
    <w:rsid w:val="00154D93"/>
    <w:rsid w:val="00156401"/>
    <w:rsid w:val="00157304"/>
    <w:rsid w:val="0016157B"/>
    <w:rsid w:val="001630A7"/>
    <w:rsid w:val="00163AB4"/>
    <w:rsid w:val="001642AE"/>
    <w:rsid w:val="001643A0"/>
    <w:rsid w:val="0016440D"/>
    <w:rsid w:val="00164AED"/>
    <w:rsid w:val="0016509B"/>
    <w:rsid w:val="0016548B"/>
    <w:rsid w:val="00165DA1"/>
    <w:rsid w:val="001666DB"/>
    <w:rsid w:val="00167786"/>
    <w:rsid w:val="001710B1"/>
    <w:rsid w:val="001716DC"/>
    <w:rsid w:val="00171B7A"/>
    <w:rsid w:val="00175375"/>
    <w:rsid w:val="0018046A"/>
    <w:rsid w:val="001804FB"/>
    <w:rsid w:val="00181E7B"/>
    <w:rsid w:val="00181E87"/>
    <w:rsid w:val="00182B13"/>
    <w:rsid w:val="00182B24"/>
    <w:rsid w:val="00182E3D"/>
    <w:rsid w:val="00183285"/>
    <w:rsid w:val="0018345C"/>
    <w:rsid w:val="00183496"/>
    <w:rsid w:val="00183587"/>
    <w:rsid w:val="00184393"/>
    <w:rsid w:val="00184C21"/>
    <w:rsid w:val="00184D9E"/>
    <w:rsid w:val="00184E09"/>
    <w:rsid w:val="0018538A"/>
    <w:rsid w:val="001866BB"/>
    <w:rsid w:val="00187052"/>
    <w:rsid w:val="00187827"/>
    <w:rsid w:val="0019032F"/>
    <w:rsid w:val="00190488"/>
    <w:rsid w:val="00190881"/>
    <w:rsid w:val="00190A8A"/>
    <w:rsid w:val="00190CD3"/>
    <w:rsid w:val="00191601"/>
    <w:rsid w:val="00191B7D"/>
    <w:rsid w:val="00192F5C"/>
    <w:rsid w:val="001935B0"/>
    <w:rsid w:val="00194972"/>
    <w:rsid w:val="00194C1E"/>
    <w:rsid w:val="00194E8E"/>
    <w:rsid w:val="00195732"/>
    <w:rsid w:val="00196CC6"/>
    <w:rsid w:val="0019775E"/>
    <w:rsid w:val="0019798F"/>
    <w:rsid w:val="00197DD9"/>
    <w:rsid w:val="001A0578"/>
    <w:rsid w:val="001A0736"/>
    <w:rsid w:val="001A1059"/>
    <w:rsid w:val="001A12F4"/>
    <w:rsid w:val="001A1CFA"/>
    <w:rsid w:val="001A21B8"/>
    <w:rsid w:val="001A2B16"/>
    <w:rsid w:val="001A3089"/>
    <w:rsid w:val="001A34C5"/>
    <w:rsid w:val="001A39FF"/>
    <w:rsid w:val="001A43BC"/>
    <w:rsid w:val="001A4709"/>
    <w:rsid w:val="001A5CEF"/>
    <w:rsid w:val="001A5D13"/>
    <w:rsid w:val="001A5FAF"/>
    <w:rsid w:val="001A6817"/>
    <w:rsid w:val="001A6A42"/>
    <w:rsid w:val="001A6FC1"/>
    <w:rsid w:val="001A7482"/>
    <w:rsid w:val="001A7B69"/>
    <w:rsid w:val="001B0DD4"/>
    <w:rsid w:val="001B10CF"/>
    <w:rsid w:val="001B1FD0"/>
    <w:rsid w:val="001B2689"/>
    <w:rsid w:val="001B26E5"/>
    <w:rsid w:val="001B2C82"/>
    <w:rsid w:val="001B35D8"/>
    <w:rsid w:val="001B3906"/>
    <w:rsid w:val="001B3969"/>
    <w:rsid w:val="001B3B4F"/>
    <w:rsid w:val="001B3F5D"/>
    <w:rsid w:val="001B3F7B"/>
    <w:rsid w:val="001B4354"/>
    <w:rsid w:val="001B473C"/>
    <w:rsid w:val="001B4F9E"/>
    <w:rsid w:val="001B5405"/>
    <w:rsid w:val="001B6298"/>
    <w:rsid w:val="001B75B0"/>
    <w:rsid w:val="001B7632"/>
    <w:rsid w:val="001B7CEE"/>
    <w:rsid w:val="001C03E3"/>
    <w:rsid w:val="001C2993"/>
    <w:rsid w:val="001C3ABA"/>
    <w:rsid w:val="001C4383"/>
    <w:rsid w:val="001C54E4"/>
    <w:rsid w:val="001C56C9"/>
    <w:rsid w:val="001C6218"/>
    <w:rsid w:val="001C6C72"/>
    <w:rsid w:val="001C7FCB"/>
    <w:rsid w:val="001D0BB9"/>
    <w:rsid w:val="001D1480"/>
    <w:rsid w:val="001D1A99"/>
    <w:rsid w:val="001D37DE"/>
    <w:rsid w:val="001D405F"/>
    <w:rsid w:val="001D4480"/>
    <w:rsid w:val="001D4F9C"/>
    <w:rsid w:val="001D539C"/>
    <w:rsid w:val="001D65AA"/>
    <w:rsid w:val="001D6A65"/>
    <w:rsid w:val="001D6D2C"/>
    <w:rsid w:val="001D72F8"/>
    <w:rsid w:val="001D73D5"/>
    <w:rsid w:val="001D782E"/>
    <w:rsid w:val="001D7ABE"/>
    <w:rsid w:val="001E0006"/>
    <w:rsid w:val="001E22F8"/>
    <w:rsid w:val="001E27E2"/>
    <w:rsid w:val="001E282F"/>
    <w:rsid w:val="001E3056"/>
    <w:rsid w:val="001E3A7A"/>
    <w:rsid w:val="001E45AD"/>
    <w:rsid w:val="001E4AD6"/>
    <w:rsid w:val="001E5CD0"/>
    <w:rsid w:val="001E5EC8"/>
    <w:rsid w:val="001E6C02"/>
    <w:rsid w:val="001E7054"/>
    <w:rsid w:val="001E7170"/>
    <w:rsid w:val="001E7643"/>
    <w:rsid w:val="001E7B01"/>
    <w:rsid w:val="001F087D"/>
    <w:rsid w:val="001F1536"/>
    <w:rsid w:val="001F3178"/>
    <w:rsid w:val="001F31A8"/>
    <w:rsid w:val="001F43DA"/>
    <w:rsid w:val="001F48D9"/>
    <w:rsid w:val="001F4E36"/>
    <w:rsid w:val="001F54AA"/>
    <w:rsid w:val="001F55D9"/>
    <w:rsid w:val="001F5FDA"/>
    <w:rsid w:val="001F61D0"/>
    <w:rsid w:val="001F63C6"/>
    <w:rsid w:val="001F6AEA"/>
    <w:rsid w:val="002002C1"/>
    <w:rsid w:val="00201125"/>
    <w:rsid w:val="00204735"/>
    <w:rsid w:val="00205CFC"/>
    <w:rsid w:val="002104DA"/>
    <w:rsid w:val="00210D0A"/>
    <w:rsid w:val="002115A7"/>
    <w:rsid w:val="00211C5E"/>
    <w:rsid w:val="0021229C"/>
    <w:rsid w:val="0021395C"/>
    <w:rsid w:val="00214CB7"/>
    <w:rsid w:val="002170D8"/>
    <w:rsid w:val="002171BE"/>
    <w:rsid w:val="0021764A"/>
    <w:rsid w:val="00220006"/>
    <w:rsid w:val="002205EF"/>
    <w:rsid w:val="0022064D"/>
    <w:rsid w:val="0022083C"/>
    <w:rsid w:val="00220B88"/>
    <w:rsid w:val="002217F7"/>
    <w:rsid w:val="00221A78"/>
    <w:rsid w:val="00221C54"/>
    <w:rsid w:val="00223115"/>
    <w:rsid w:val="00224664"/>
    <w:rsid w:val="002248BC"/>
    <w:rsid w:val="00224C26"/>
    <w:rsid w:val="002259AF"/>
    <w:rsid w:val="00225A1E"/>
    <w:rsid w:val="00227440"/>
    <w:rsid w:val="002306E5"/>
    <w:rsid w:val="0023098E"/>
    <w:rsid w:val="00231C96"/>
    <w:rsid w:val="0023294A"/>
    <w:rsid w:val="0023374A"/>
    <w:rsid w:val="002366D1"/>
    <w:rsid w:val="00236CD5"/>
    <w:rsid w:val="00236DF5"/>
    <w:rsid w:val="0024099C"/>
    <w:rsid w:val="00240DEF"/>
    <w:rsid w:val="00241F71"/>
    <w:rsid w:val="002422EF"/>
    <w:rsid w:val="0024301F"/>
    <w:rsid w:val="0024379A"/>
    <w:rsid w:val="002443DA"/>
    <w:rsid w:val="002443EA"/>
    <w:rsid w:val="0024477E"/>
    <w:rsid w:val="002460D7"/>
    <w:rsid w:val="00246406"/>
    <w:rsid w:val="00246787"/>
    <w:rsid w:val="00246AD9"/>
    <w:rsid w:val="0024710D"/>
    <w:rsid w:val="002502B1"/>
    <w:rsid w:val="0025058B"/>
    <w:rsid w:val="0025153D"/>
    <w:rsid w:val="0025290F"/>
    <w:rsid w:val="00252CCD"/>
    <w:rsid w:val="00254B8C"/>
    <w:rsid w:val="00255861"/>
    <w:rsid w:val="00255C27"/>
    <w:rsid w:val="00256360"/>
    <w:rsid w:val="00256513"/>
    <w:rsid w:val="002568D5"/>
    <w:rsid w:val="00260428"/>
    <w:rsid w:val="00261B53"/>
    <w:rsid w:val="00263BC3"/>
    <w:rsid w:val="0026617A"/>
    <w:rsid w:val="00266276"/>
    <w:rsid w:val="00266692"/>
    <w:rsid w:val="00266989"/>
    <w:rsid w:val="002669E8"/>
    <w:rsid w:val="00266C20"/>
    <w:rsid w:val="0026728C"/>
    <w:rsid w:val="00270145"/>
    <w:rsid w:val="002701BA"/>
    <w:rsid w:val="002701C4"/>
    <w:rsid w:val="002705A8"/>
    <w:rsid w:val="002709EF"/>
    <w:rsid w:val="00270E7F"/>
    <w:rsid w:val="00270EA1"/>
    <w:rsid w:val="00270EAD"/>
    <w:rsid w:val="0027103E"/>
    <w:rsid w:val="00271352"/>
    <w:rsid w:val="002724A8"/>
    <w:rsid w:val="00272693"/>
    <w:rsid w:val="002727AE"/>
    <w:rsid w:val="002735ED"/>
    <w:rsid w:val="00273954"/>
    <w:rsid w:val="00273A98"/>
    <w:rsid w:val="00273FE4"/>
    <w:rsid w:val="00274139"/>
    <w:rsid w:val="0027494C"/>
    <w:rsid w:val="00275A5D"/>
    <w:rsid w:val="00275F5F"/>
    <w:rsid w:val="0027642F"/>
    <w:rsid w:val="002775CF"/>
    <w:rsid w:val="00277667"/>
    <w:rsid w:val="00277698"/>
    <w:rsid w:val="00280564"/>
    <w:rsid w:val="002809E7"/>
    <w:rsid w:val="0028105B"/>
    <w:rsid w:val="002814FF"/>
    <w:rsid w:val="00281517"/>
    <w:rsid w:val="00281BA8"/>
    <w:rsid w:val="00281EBE"/>
    <w:rsid w:val="00282277"/>
    <w:rsid w:val="00282490"/>
    <w:rsid w:val="0028286B"/>
    <w:rsid w:val="0028411E"/>
    <w:rsid w:val="00284773"/>
    <w:rsid w:val="00285407"/>
    <w:rsid w:val="00285D9F"/>
    <w:rsid w:val="0028602F"/>
    <w:rsid w:val="00292928"/>
    <w:rsid w:val="0029335F"/>
    <w:rsid w:val="00293D95"/>
    <w:rsid w:val="00294203"/>
    <w:rsid w:val="00297819"/>
    <w:rsid w:val="002A0CC1"/>
    <w:rsid w:val="002A162A"/>
    <w:rsid w:val="002A1712"/>
    <w:rsid w:val="002A2708"/>
    <w:rsid w:val="002A2C73"/>
    <w:rsid w:val="002A310A"/>
    <w:rsid w:val="002A3781"/>
    <w:rsid w:val="002A4CE1"/>
    <w:rsid w:val="002A584E"/>
    <w:rsid w:val="002A5FF2"/>
    <w:rsid w:val="002A6A3E"/>
    <w:rsid w:val="002A6DA0"/>
    <w:rsid w:val="002A701C"/>
    <w:rsid w:val="002B0E6E"/>
    <w:rsid w:val="002B252C"/>
    <w:rsid w:val="002B2636"/>
    <w:rsid w:val="002B29D8"/>
    <w:rsid w:val="002B3314"/>
    <w:rsid w:val="002B3611"/>
    <w:rsid w:val="002B3DE1"/>
    <w:rsid w:val="002B4037"/>
    <w:rsid w:val="002B478A"/>
    <w:rsid w:val="002B4DE8"/>
    <w:rsid w:val="002B4EA3"/>
    <w:rsid w:val="002B60FC"/>
    <w:rsid w:val="002B7CA0"/>
    <w:rsid w:val="002B7F81"/>
    <w:rsid w:val="002C03E7"/>
    <w:rsid w:val="002C14A6"/>
    <w:rsid w:val="002C187D"/>
    <w:rsid w:val="002C1A0A"/>
    <w:rsid w:val="002C1B0C"/>
    <w:rsid w:val="002C1B94"/>
    <w:rsid w:val="002C1CAF"/>
    <w:rsid w:val="002C302D"/>
    <w:rsid w:val="002C339C"/>
    <w:rsid w:val="002C4447"/>
    <w:rsid w:val="002C45AB"/>
    <w:rsid w:val="002C4742"/>
    <w:rsid w:val="002C5036"/>
    <w:rsid w:val="002C6539"/>
    <w:rsid w:val="002C671F"/>
    <w:rsid w:val="002C6CAA"/>
    <w:rsid w:val="002C7942"/>
    <w:rsid w:val="002C7F07"/>
    <w:rsid w:val="002D0313"/>
    <w:rsid w:val="002D1721"/>
    <w:rsid w:val="002D1ABC"/>
    <w:rsid w:val="002D23D2"/>
    <w:rsid w:val="002D2F2D"/>
    <w:rsid w:val="002D30A5"/>
    <w:rsid w:val="002D383D"/>
    <w:rsid w:val="002D392A"/>
    <w:rsid w:val="002D4FD0"/>
    <w:rsid w:val="002D528D"/>
    <w:rsid w:val="002D5517"/>
    <w:rsid w:val="002D56E4"/>
    <w:rsid w:val="002D638F"/>
    <w:rsid w:val="002D675E"/>
    <w:rsid w:val="002D6799"/>
    <w:rsid w:val="002D6B07"/>
    <w:rsid w:val="002E0977"/>
    <w:rsid w:val="002E12F7"/>
    <w:rsid w:val="002E2D01"/>
    <w:rsid w:val="002E3E90"/>
    <w:rsid w:val="002E40D4"/>
    <w:rsid w:val="002E5271"/>
    <w:rsid w:val="002E642D"/>
    <w:rsid w:val="002E6D22"/>
    <w:rsid w:val="002E7A7F"/>
    <w:rsid w:val="002F02B9"/>
    <w:rsid w:val="002F0BD8"/>
    <w:rsid w:val="002F0FD9"/>
    <w:rsid w:val="002F1601"/>
    <w:rsid w:val="002F181B"/>
    <w:rsid w:val="002F3297"/>
    <w:rsid w:val="002F377C"/>
    <w:rsid w:val="002F5E07"/>
    <w:rsid w:val="002F62C6"/>
    <w:rsid w:val="002F66DE"/>
    <w:rsid w:val="002F7037"/>
    <w:rsid w:val="002F7930"/>
    <w:rsid w:val="0030119A"/>
    <w:rsid w:val="00301582"/>
    <w:rsid w:val="00301754"/>
    <w:rsid w:val="0030252D"/>
    <w:rsid w:val="00302A78"/>
    <w:rsid w:val="00303A61"/>
    <w:rsid w:val="00304442"/>
    <w:rsid w:val="00305FED"/>
    <w:rsid w:val="0030650D"/>
    <w:rsid w:val="003079E7"/>
    <w:rsid w:val="00310679"/>
    <w:rsid w:val="003128ED"/>
    <w:rsid w:val="003129C2"/>
    <w:rsid w:val="00313A0F"/>
    <w:rsid w:val="00315721"/>
    <w:rsid w:val="0031594B"/>
    <w:rsid w:val="00315F9A"/>
    <w:rsid w:val="0031640C"/>
    <w:rsid w:val="00316980"/>
    <w:rsid w:val="00317093"/>
    <w:rsid w:val="003174E9"/>
    <w:rsid w:val="00317633"/>
    <w:rsid w:val="00321C87"/>
    <w:rsid w:val="0032281C"/>
    <w:rsid w:val="00323A4A"/>
    <w:rsid w:val="00323E1C"/>
    <w:rsid w:val="00324203"/>
    <w:rsid w:val="00324340"/>
    <w:rsid w:val="00324CE3"/>
    <w:rsid w:val="003250E4"/>
    <w:rsid w:val="00325523"/>
    <w:rsid w:val="00325CBE"/>
    <w:rsid w:val="003266A3"/>
    <w:rsid w:val="00326D74"/>
    <w:rsid w:val="003272E1"/>
    <w:rsid w:val="0032760E"/>
    <w:rsid w:val="0032760F"/>
    <w:rsid w:val="003279AD"/>
    <w:rsid w:val="00327E8D"/>
    <w:rsid w:val="00327ED8"/>
    <w:rsid w:val="00330066"/>
    <w:rsid w:val="00330436"/>
    <w:rsid w:val="00330F2B"/>
    <w:rsid w:val="0033127B"/>
    <w:rsid w:val="003319EC"/>
    <w:rsid w:val="003322B3"/>
    <w:rsid w:val="003323D1"/>
    <w:rsid w:val="00333157"/>
    <w:rsid w:val="00333BD8"/>
    <w:rsid w:val="00333EE9"/>
    <w:rsid w:val="00335107"/>
    <w:rsid w:val="003363F3"/>
    <w:rsid w:val="00337025"/>
    <w:rsid w:val="00340C79"/>
    <w:rsid w:val="00340D2A"/>
    <w:rsid w:val="00340E8F"/>
    <w:rsid w:val="00340F3E"/>
    <w:rsid w:val="003413FB"/>
    <w:rsid w:val="003417FD"/>
    <w:rsid w:val="00341959"/>
    <w:rsid w:val="00341CD4"/>
    <w:rsid w:val="00341D7C"/>
    <w:rsid w:val="00341F66"/>
    <w:rsid w:val="0034217B"/>
    <w:rsid w:val="00342FAE"/>
    <w:rsid w:val="0034374A"/>
    <w:rsid w:val="00344001"/>
    <w:rsid w:val="00345165"/>
    <w:rsid w:val="003453A5"/>
    <w:rsid w:val="00350064"/>
    <w:rsid w:val="00350757"/>
    <w:rsid w:val="003514ED"/>
    <w:rsid w:val="00351A87"/>
    <w:rsid w:val="00351DB1"/>
    <w:rsid w:val="00352120"/>
    <w:rsid w:val="00352903"/>
    <w:rsid w:val="00353501"/>
    <w:rsid w:val="003549D8"/>
    <w:rsid w:val="00354BCD"/>
    <w:rsid w:val="00355BE3"/>
    <w:rsid w:val="00356A9A"/>
    <w:rsid w:val="00357A58"/>
    <w:rsid w:val="003612F0"/>
    <w:rsid w:val="00361551"/>
    <w:rsid w:val="0036263B"/>
    <w:rsid w:val="00363262"/>
    <w:rsid w:val="00363F2E"/>
    <w:rsid w:val="00364082"/>
    <w:rsid w:val="003640B4"/>
    <w:rsid w:val="003641A6"/>
    <w:rsid w:val="00364751"/>
    <w:rsid w:val="00364B11"/>
    <w:rsid w:val="003652E2"/>
    <w:rsid w:val="00365DF9"/>
    <w:rsid w:val="00366509"/>
    <w:rsid w:val="00366758"/>
    <w:rsid w:val="00366ECF"/>
    <w:rsid w:val="003672DE"/>
    <w:rsid w:val="00367E10"/>
    <w:rsid w:val="00367E92"/>
    <w:rsid w:val="0037101A"/>
    <w:rsid w:val="00371BB5"/>
    <w:rsid w:val="003729C4"/>
    <w:rsid w:val="003739F2"/>
    <w:rsid w:val="00373CA0"/>
    <w:rsid w:val="00373D7C"/>
    <w:rsid w:val="00374214"/>
    <w:rsid w:val="00374E98"/>
    <w:rsid w:val="00375013"/>
    <w:rsid w:val="0037543A"/>
    <w:rsid w:val="00376E6B"/>
    <w:rsid w:val="00377841"/>
    <w:rsid w:val="003801D9"/>
    <w:rsid w:val="00380C66"/>
    <w:rsid w:val="003811C6"/>
    <w:rsid w:val="003816C9"/>
    <w:rsid w:val="00382DA4"/>
    <w:rsid w:val="003830C8"/>
    <w:rsid w:val="00385732"/>
    <w:rsid w:val="00385AA7"/>
    <w:rsid w:val="00385CA1"/>
    <w:rsid w:val="00390BE0"/>
    <w:rsid w:val="00391890"/>
    <w:rsid w:val="00391D42"/>
    <w:rsid w:val="003920FC"/>
    <w:rsid w:val="003927BE"/>
    <w:rsid w:val="00393443"/>
    <w:rsid w:val="0039354F"/>
    <w:rsid w:val="00393FEE"/>
    <w:rsid w:val="0039464A"/>
    <w:rsid w:val="00395403"/>
    <w:rsid w:val="003A083F"/>
    <w:rsid w:val="003A1775"/>
    <w:rsid w:val="003A2604"/>
    <w:rsid w:val="003A2B83"/>
    <w:rsid w:val="003A2EBD"/>
    <w:rsid w:val="003A349B"/>
    <w:rsid w:val="003A3B21"/>
    <w:rsid w:val="003A3E2C"/>
    <w:rsid w:val="003A44DB"/>
    <w:rsid w:val="003A52A0"/>
    <w:rsid w:val="003A54F7"/>
    <w:rsid w:val="003A5BF7"/>
    <w:rsid w:val="003A6365"/>
    <w:rsid w:val="003A6EEA"/>
    <w:rsid w:val="003A720D"/>
    <w:rsid w:val="003B0845"/>
    <w:rsid w:val="003B0A21"/>
    <w:rsid w:val="003B0E7E"/>
    <w:rsid w:val="003B156E"/>
    <w:rsid w:val="003B1B07"/>
    <w:rsid w:val="003B2006"/>
    <w:rsid w:val="003B3571"/>
    <w:rsid w:val="003B362F"/>
    <w:rsid w:val="003B45F9"/>
    <w:rsid w:val="003B4E3F"/>
    <w:rsid w:val="003B4ED7"/>
    <w:rsid w:val="003B5962"/>
    <w:rsid w:val="003B6722"/>
    <w:rsid w:val="003B675A"/>
    <w:rsid w:val="003B67CA"/>
    <w:rsid w:val="003B6A36"/>
    <w:rsid w:val="003B6BB4"/>
    <w:rsid w:val="003C00E2"/>
    <w:rsid w:val="003C0394"/>
    <w:rsid w:val="003C1651"/>
    <w:rsid w:val="003C1E4D"/>
    <w:rsid w:val="003C1F87"/>
    <w:rsid w:val="003C2B01"/>
    <w:rsid w:val="003C2C28"/>
    <w:rsid w:val="003C3441"/>
    <w:rsid w:val="003C444D"/>
    <w:rsid w:val="003C4CE2"/>
    <w:rsid w:val="003C55AF"/>
    <w:rsid w:val="003C63D9"/>
    <w:rsid w:val="003C6769"/>
    <w:rsid w:val="003C69A4"/>
    <w:rsid w:val="003C6C5E"/>
    <w:rsid w:val="003C78DC"/>
    <w:rsid w:val="003D0012"/>
    <w:rsid w:val="003D1378"/>
    <w:rsid w:val="003D140A"/>
    <w:rsid w:val="003D20EC"/>
    <w:rsid w:val="003D2601"/>
    <w:rsid w:val="003D2CCA"/>
    <w:rsid w:val="003D2D2B"/>
    <w:rsid w:val="003D38E4"/>
    <w:rsid w:val="003D3FC0"/>
    <w:rsid w:val="003D46FE"/>
    <w:rsid w:val="003D5F12"/>
    <w:rsid w:val="003D6212"/>
    <w:rsid w:val="003D6615"/>
    <w:rsid w:val="003D6A00"/>
    <w:rsid w:val="003D6DE0"/>
    <w:rsid w:val="003D7D35"/>
    <w:rsid w:val="003E00C7"/>
    <w:rsid w:val="003E23BD"/>
    <w:rsid w:val="003E4494"/>
    <w:rsid w:val="003E47FD"/>
    <w:rsid w:val="003E555C"/>
    <w:rsid w:val="003E5FFA"/>
    <w:rsid w:val="003E6279"/>
    <w:rsid w:val="003E75E5"/>
    <w:rsid w:val="003E7E09"/>
    <w:rsid w:val="003F022D"/>
    <w:rsid w:val="003F06C8"/>
    <w:rsid w:val="003F27F6"/>
    <w:rsid w:val="003F2904"/>
    <w:rsid w:val="003F3787"/>
    <w:rsid w:val="003F3C87"/>
    <w:rsid w:val="003F4F12"/>
    <w:rsid w:val="003F5329"/>
    <w:rsid w:val="003F61D5"/>
    <w:rsid w:val="003F6EBF"/>
    <w:rsid w:val="003F7600"/>
    <w:rsid w:val="003F7AC1"/>
    <w:rsid w:val="003F7BE7"/>
    <w:rsid w:val="003F7DC6"/>
    <w:rsid w:val="003F7F24"/>
    <w:rsid w:val="0040162A"/>
    <w:rsid w:val="00401C7F"/>
    <w:rsid w:val="0040229D"/>
    <w:rsid w:val="004022F1"/>
    <w:rsid w:val="00402384"/>
    <w:rsid w:val="004041FB"/>
    <w:rsid w:val="004042C5"/>
    <w:rsid w:val="00404B41"/>
    <w:rsid w:val="00405381"/>
    <w:rsid w:val="00405868"/>
    <w:rsid w:val="00407E73"/>
    <w:rsid w:val="004101CD"/>
    <w:rsid w:val="0041038B"/>
    <w:rsid w:val="004108F3"/>
    <w:rsid w:val="00411202"/>
    <w:rsid w:val="004114EC"/>
    <w:rsid w:val="00412090"/>
    <w:rsid w:val="00412097"/>
    <w:rsid w:val="00412FB2"/>
    <w:rsid w:val="00413172"/>
    <w:rsid w:val="00413283"/>
    <w:rsid w:val="0041356C"/>
    <w:rsid w:val="004145EC"/>
    <w:rsid w:val="00414B69"/>
    <w:rsid w:val="0041531A"/>
    <w:rsid w:val="00415422"/>
    <w:rsid w:val="00416D6B"/>
    <w:rsid w:val="00420E9A"/>
    <w:rsid w:val="004216A9"/>
    <w:rsid w:val="004221BC"/>
    <w:rsid w:val="00422263"/>
    <w:rsid w:val="00424478"/>
    <w:rsid w:val="00425446"/>
    <w:rsid w:val="00425E21"/>
    <w:rsid w:val="00426A6A"/>
    <w:rsid w:val="00426B82"/>
    <w:rsid w:val="00426DAE"/>
    <w:rsid w:val="00431523"/>
    <w:rsid w:val="00431B0D"/>
    <w:rsid w:val="00431B50"/>
    <w:rsid w:val="00431EEA"/>
    <w:rsid w:val="004320F9"/>
    <w:rsid w:val="00432926"/>
    <w:rsid w:val="0043299A"/>
    <w:rsid w:val="00432E1A"/>
    <w:rsid w:val="00433D68"/>
    <w:rsid w:val="00433F38"/>
    <w:rsid w:val="00435292"/>
    <w:rsid w:val="00435B0B"/>
    <w:rsid w:val="00435B42"/>
    <w:rsid w:val="00436DEA"/>
    <w:rsid w:val="00437D63"/>
    <w:rsid w:val="004403AD"/>
    <w:rsid w:val="00440447"/>
    <w:rsid w:val="004407B5"/>
    <w:rsid w:val="00440C5A"/>
    <w:rsid w:val="004413D8"/>
    <w:rsid w:val="00441510"/>
    <w:rsid w:val="004419D8"/>
    <w:rsid w:val="00441A76"/>
    <w:rsid w:val="00441F0E"/>
    <w:rsid w:val="00442D84"/>
    <w:rsid w:val="0044358B"/>
    <w:rsid w:val="0044383F"/>
    <w:rsid w:val="004438A1"/>
    <w:rsid w:val="00444368"/>
    <w:rsid w:val="00444A4B"/>
    <w:rsid w:val="00446D08"/>
    <w:rsid w:val="00450DA2"/>
    <w:rsid w:val="00451EF0"/>
    <w:rsid w:val="00451F0D"/>
    <w:rsid w:val="00452785"/>
    <w:rsid w:val="00453B23"/>
    <w:rsid w:val="004550B8"/>
    <w:rsid w:val="0045585D"/>
    <w:rsid w:val="00455C8C"/>
    <w:rsid w:val="00455EBD"/>
    <w:rsid w:val="00455EE0"/>
    <w:rsid w:val="00456576"/>
    <w:rsid w:val="0045681D"/>
    <w:rsid w:val="0046013A"/>
    <w:rsid w:val="00460146"/>
    <w:rsid w:val="00460526"/>
    <w:rsid w:val="0046088B"/>
    <w:rsid w:val="00460FED"/>
    <w:rsid w:val="0046138E"/>
    <w:rsid w:val="0046152C"/>
    <w:rsid w:val="00461E47"/>
    <w:rsid w:val="004623D3"/>
    <w:rsid w:val="00462546"/>
    <w:rsid w:val="00462658"/>
    <w:rsid w:val="00462B76"/>
    <w:rsid w:val="004636A7"/>
    <w:rsid w:val="00464010"/>
    <w:rsid w:val="00465BB9"/>
    <w:rsid w:val="00470373"/>
    <w:rsid w:val="004705DC"/>
    <w:rsid w:val="00470BA6"/>
    <w:rsid w:val="00471ACF"/>
    <w:rsid w:val="00471B92"/>
    <w:rsid w:val="004725BB"/>
    <w:rsid w:val="004728FB"/>
    <w:rsid w:val="00472D84"/>
    <w:rsid w:val="00474642"/>
    <w:rsid w:val="00474BEB"/>
    <w:rsid w:val="00474F28"/>
    <w:rsid w:val="00475212"/>
    <w:rsid w:val="00477279"/>
    <w:rsid w:val="004776E0"/>
    <w:rsid w:val="00477899"/>
    <w:rsid w:val="004804A0"/>
    <w:rsid w:val="00481793"/>
    <w:rsid w:val="00481CA2"/>
    <w:rsid w:val="004821CD"/>
    <w:rsid w:val="004827D2"/>
    <w:rsid w:val="00482FD2"/>
    <w:rsid w:val="00483066"/>
    <w:rsid w:val="004842F1"/>
    <w:rsid w:val="004847E8"/>
    <w:rsid w:val="00484ABE"/>
    <w:rsid w:val="0048559A"/>
    <w:rsid w:val="004857E0"/>
    <w:rsid w:val="00485E2E"/>
    <w:rsid w:val="00486BB7"/>
    <w:rsid w:val="004900E5"/>
    <w:rsid w:val="0049024D"/>
    <w:rsid w:val="00490662"/>
    <w:rsid w:val="00491979"/>
    <w:rsid w:val="00491E55"/>
    <w:rsid w:val="004922FA"/>
    <w:rsid w:val="00492372"/>
    <w:rsid w:val="004925BA"/>
    <w:rsid w:val="0049272F"/>
    <w:rsid w:val="00492A67"/>
    <w:rsid w:val="00494607"/>
    <w:rsid w:val="00495046"/>
    <w:rsid w:val="00495378"/>
    <w:rsid w:val="00496066"/>
    <w:rsid w:val="00497544"/>
    <w:rsid w:val="00497B8E"/>
    <w:rsid w:val="004A1040"/>
    <w:rsid w:val="004A112C"/>
    <w:rsid w:val="004A1363"/>
    <w:rsid w:val="004A14ED"/>
    <w:rsid w:val="004A215B"/>
    <w:rsid w:val="004A2929"/>
    <w:rsid w:val="004A3ABD"/>
    <w:rsid w:val="004A3C16"/>
    <w:rsid w:val="004A3E34"/>
    <w:rsid w:val="004A487A"/>
    <w:rsid w:val="004A4F14"/>
    <w:rsid w:val="004A7340"/>
    <w:rsid w:val="004A76FF"/>
    <w:rsid w:val="004A7963"/>
    <w:rsid w:val="004B0188"/>
    <w:rsid w:val="004B11CE"/>
    <w:rsid w:val="004B1975"/>
    <w:rsid w:val="004B3586"/>
    <w:rsid w:val="004B37A6"/>
    <w:rsid w:val="004B380D"/>
    <w:rsid w:val="004B3FFF"/>
    <w:rsid w:val="004B436C"/>
    <w:rsid w:val="004B5381"/>
    <w:rsid w:val="004B5B7A"/>
    <w:rsid w:val="004B5F80"/>
    <w:rsid w:val="004B66D6"/>
    <w:rsid w:val="004B6C28"/>
    <w:rsid w:val="004B762D"/>
    <w:rsid w:val="004B76BD"/>
    <w:rsid w:val="004B7B9D"/>
    <w:rsid w:val="004C0A49"/>
    <w:rsid w:val="004C329A"/>
    <w:rsid w:val="004C3438"/>
    <w:rsid w:val="004C34E2"/>
    <w:rsid w:val="004C444D"/>
    <w:rsid w:val="004C557C"/>
    <w:rsid w:val="004C5599"/>
    <w:rsid w:val="004C66FF"/>
    <w:rsid w:val="004C6E54"/>
    <w:rsid w:val="004C7CCE"/>
    <w:rsid w:val="004D1CEB"/>
    <w:rsid w:val="004D2A3C"/>
    <w:rsid w:val="004D3336"/>
    <w:rsid w:val="004D409B"/>
    <w:rsid w:val="004D463B"/>
    <w:rsid w:val="004D4788"/>
    <w:rsid w:val="004D48F9"/>
    <w:rsid w:val="004D5691"/>
    <w:rsid w:val="004D6EC0"/>
    <w:rsid w:val="004D76CF"/>
    <w:rsid w:val="004D7785"/>
    <w:rsid w:val="004E0B2B"/>
    <w:rsid w:val="004E1137"/>
    <w:rsid w:val="004E122C"/>
    <w:rsid w:val="004E15B4"/>
    <w:rsid w:val="004E18C0"/>
    <w:rsid w:val="004E1E4E"/>
    <w:rsid w:val="004E3C17"/>
    <w:rsid w:val="004E4102"/>
    <w:rsid w:val="004E4C12"/>
    <w:rsid w:val="004E4D09"/>
    <w:rsid w:val="004E6897"/>
    <w:rsid w:val="004E6A05"/>
    <w:rsid w:val="004E726B"/>
    <w:rsid w:val="004E770A"/>
    <w:rsid w:val="004F0127"/>
    <w:rsid w:val="004F0172"/>
    <w:rsid w:val="004F10DA"/>
    <w:rsid w:val="004F19EF"/>
    <w:rsid w:val="004F21CB"/>
    <w:rsid w:val="004F2F91"/>
    <w:rsid w:val="004F3672"/>
    <w:rsid w:val="004F3A11"/>
    <w:rsid w:val="004F59F6"/>
    <w:rsid w:val="004F5C42"/>
    <w:rsid w:val="004F65D3"/>
    <w:rsid w:val="004F69A4"/>
    <w:rsid w:val="004F6B95"/>
    <w:rsid w:val="004F732D"/>
    <w:rsid w:val="004F7892"/>
    <w:rsid w:val="005001DC"/>
    <w:rsid w:val="005004BD"/>
    <w:rsid w:val="00500A1F"/>
    <w:rsid w:val="00501741"/>
    <w:rsid w:val="005018D6"/>
    <w:rsid w:val="00501B53"/>
    <w:rsid w:val="00502083"/>
    <w:rsid w:val="005024B8"/>
    <w:rsid w:val="0050294D"/>
    <w:rsid w:val="00503367"/>
    <w:rsid w:val="0050373B"/>
    <w:rsid w:val="00503906"/>
    <w:rsid w:val="00503EC9"/>
    <w:rsid w:val="00503F5F"/>
    <w:rsid w:val="005048C1"/>
    <w:rsid w:val="005058AE"/>
    <w:rsid w:val="00505C1C"/>
    <w:rsid w:val="0050612A"/>
    <w:rsid w:val="005064C1"/>
    <w:rsid w:val="00506DBC"/>
    <w:rsid w:val="00507487"/>
    <w:rsid w:val="00510E50"/>
    <w:rsid w:val="00512C30"/>
    <w:rsid w:val="00513C71"/>
    <w:rsid w:val="0051411A"/>
    <w:rsid w:val="00516C81"/>
    <w:rsid w:val="005171EB"/>
    <w:rsid w:val="0051727A"/>
    <w:rsid w:val="00517ADA"/>
    <w:rsid w:val="005200E5"/>
    <w:rsid w:val="00520901"/>
    <w:rsid w:val="00520CFE"/>
    <w:rsid w:val="0052125A"/>
    <w:rsid w:val="00521421"/>
    <w:rsid w:val="00521641"/>
    <w:rsid w:val="005217B5"/>
    <w:rsid w:val="00521C9D"/>
    <w:rsid w:val="00522DF1"/>
    <w:rsid w:val="00523223"/>
    <w:rsid w:val="00523A8B"/>
    <w:rsid w:val="00523F6B"/>
    <w:rsid w:val="005245C0"/>
    <w:rsid w:val="005247DB"/>
    <w:rsid w:val="00524C7D"/>
    <w:rsid w:val="005254EB"/>
    <w:rsid w:val="00526658"/>
    <w:rsid w:val="00526C08"/>
    <w:rsid w:val="005272A1"/>
    <w:rsid w:val="00531C3B"/>
    <w:rsid w:val="00531EEE"/>
    <w:rsid w:val="0053405D"/>
    <w:rsid w:val="00534707"/>
    <w:rsid w:val="005349A9"/>
    <w:rsid w:val="00534A8B"/>
    <w:rsid w:val="00536485"/>
    <w:rsid w:val="00536B20"/>
    <w:rsid w:val="00537098"/>
    <w:rsid w:val="00540390"/>
    <w:rsid w:val="00540509"/>
    <w:rsid w:val="00541E3B"/>
    <w:rsid w:val="005421BF"/>
    <w:rsid w:val="00542B4C"/>
    <w:rsid w:val="00543112"/>
    <w:rsid w:val="00543616"/>
    <w:rsid w:val="00545590"/>
    <w:rsid w:val="00545FD1"/>
    <w:rsid w:val="005469E1"/>
    <w:rsid w:val="00546B85"/>
    <w:rsid w:val="0054734A"/>
    <w:rsid w:val="00547E8B"/>
    <w:rsid w:val="00547ED5"/>
    <w:rsid w:val="005503FB"/>
    <w:rsid w:val="005509F8"/>
    <w:rsid w:val="00551608"/>
    <w:rsid w:val="00551CD8"/>
    <w:rsid w:val="005520C1"/>
    <w:rsid w:val="005522E9"/>
    <w:rsid w:val="00552738"/>
    <w:rsid w:val="00552D2C"/>
    <w:rsid w:val="005530F6"/>
    <w:rsid w:val="00553675"/>
    <w:rsid w:val="00553DD0"/>
    <w:rsid w:val="00553F01"/>
    <w:rsid w:val="00554592"/>
    <w:rsid w:val="00554E60"/>
    <w:rsid w:val="005553E8"/>
    <w:rsid w:val="0055572C"/>
    <w:rsid w:val="005562EC"/>
    <w:rsid w:val="005564D0"/>
    <w:rsid w:val="00557330"/>
    <w:rsid w:val="00557676"/>
    <w:rsid w:val="005600C4"/>
    <w:rsid w:val="00560D61"/>
    <w:rsid w:val="00560D84"/>
    <w:rsid w:val="00561B6E"/>
    <w:rsid w:val="00562ACB"/>
    <w:rsid w:val="00563BBE"/>
    <w:rsid w:val="005640C3"/>
    <w:rsid w:val="0056662E"/>
    <w:rsid w:val="005672EC"/>
    <w:rsid w:val="00567ECF"/>
    <w:rsid w:val="005701BD"/>
    <w:rsid w:val="00572180"/>
    <w:rsid w:val="00572B06"/>
    <w:rsid w:val="0057334A"/>
    <w:rsid w:val="00575436"/>
    <w:rsid w:val="005757D5"/>
    <w:rsid w:val="00575A94"/>
    <w:rsid w:val="00576054"/>
    <w:rsid w:val="00576FB9"/>
    <w:rsid w:val="005778DF"/>
    <w:rsid w:val="0057799D"/>
    <w:rsid w:val="005807F7"/>
    <w:rsid w:val="00580C32"/>
    <w:rsid w:val="00580EB5"/>
    <w:rsid w:val="00581591"/>
    <w:rsid w:val="00581841"/>
    <w:rsid w:val="00582307"/>
    <w:rsid w:val="00582771"/>
    <w:rsid w:val="0058416C"/>
    <w:rsid w:val="00585222"/>
    <w:rsid w:val="0058590B"/>
    <w:rsid w:val="005859D2"/>
    <w:rsid w:val="00586170"/>
    <w:rsid w:val="00586445"/>
    <w:rsid w:val="00586EC7"/>
    <w:rsid w:val="00587167"/>
    <w:rsid w:val="00587765"/>
    <w:rsid w:val="00587A75"/>
    <w:rsid w:val="00590842"/>
    <w:rsid w:val="005909B8"/>
    <w:rsid w:val="005912AC"/>
    <w:rsid w:val="005912E0"/>
    <w:rsid w:val="00591D80"/>
    <w:rsid w:val="00592179"/>
    <w:rsid w:val="005926D4"/>
    <w:rsid w:val="005929BA"/>
    <w:rsid w:val="00592E7C"/>
    <w:rsid w:val="0059349B"/>
    <w:rsid w:val="00593C87"/>
    <w:rsid w:val="00594CF8"/>
    <w:rsid w:val="00594F5E"/>
    <w:rsid w:val="005955B7"/>
    <w:rsid w:val="005968E2"/>
    <w:rsid w:val="005972AD"/>
    <w:rsid w:val="00597361"/>
    <w:rsid w:val="005976B2"/>
    <w:rsid w:val="00597A8F"/>
    <w:rsid w:val="005A0966"/>
    <w:rsid w:val="005A0C23"/>
    <w:rsid w:val="005A2BA7"/>
    <w:rsid w:val="005A2FA3"/>
    <w:rsid w:val="005A3921"/>
    <w:rsid w:val="005A4DF7"/>
    <w:rsid w:val="005A5046"/>
    <w:rsid w:val="005A661C"/>
    <w:rsid w:val="005A6B57"/>
    <w:rsid w:val="005A775C"/>
    <w:rsid w:val="005B0011"/>
    <w:rsid w:val="005B1180"/>
    <w:rsid w:val="005B2A19"/>
    <w:rsid w:val="005B3063"/>
    <w:rsid w:val="005B3545"/>
    <w:rsid w:val="005B5A7E"/>
    <w:rsid w:val="005B615A"/>
    <w:rsid w:val="005C01D0"/>
    <w:rsid w:val="005C0D40"/>
    <w:rsid w:val="005C0E66"/>
    <w:rsid w:val="005C171D"/>
    <w:rsid w:val="005C3898"/>
    <w:rsid w:val="005C3961"/>
    <w:rsid w:val="005C440E"/>
    <w:rsid w:val="005C4534"/>
    <w:rsid w:val="005C5072"/>
    <w:rsid w:val="005C540C"/>
    <w:rsid w:val="005C6AD7"/>
    <w:rsid w:val="005C6FF4"/>
    <w:rsid w:val="005D281C"/>
    <w:rsid w:val="005D293C"/>
    <w:rsid w:val="005D2DCB"/>
    <w:rsid w:val="005D36AF"/>
    <w:rsid w:val="005D4311"/>
    <w:rsid w:val="005D4F22"/>
    <w:rsid w:val="005D50CE"/>
    <w:rsid w:val="005D56AE"/>
    <w:rsid w:val="005D64C0"/>
    <w:rsid w:val="005D7AE0"/>
    <w:rsid w:val="005D7D6F"/>
    <w:rsid w:val="005E1274"/>
    <w:rsid w:val="005E18A6"/>
    <w:rsid w:val="005E19E5"/>
    <w:rsid w:val="005E26D3"/>
    <w:rsid w:val="005E28F5"/>
    <w:rsid w:val="005E2B23"/>
    <w:rsid w:val="005E303D"/>
    <w:rsid w:val="005E3982"/>
    <w:rsid w:val="005E4C8A"/>
    <w:rsid w:val="005E50E7"/>
    <w:rsid w:val="005E5CBC"/>
    <w:rsid w:val="005E79F9"/>
    <w:rsid w:val="005E7D1B"/>
    <w:rsid w:val="005E7EB8"/>
    <w:rsid w:val="005F0356"/>
    <w:rsid w:val="005F0D04"/>
    <w:rsid w:val="005F100F"/>
    <w:rsid w:val="005F2D4F"/>
    <w:rsid w:val="005F324B"/>
    <w:rsid w:val="005F4AEA"/>
    <w:rsid w:val="005F50D0"/>
    <w:rsid w:val="005F5C79"/>
    <w:rsid w:val="005F5F8E"/>
    <w:rsid w:val="005F67AD"/>
    <w:rsid w:val="005F6F61"/>
    <w:rsid w:val="005F7A7F"/>
    <w:rsid w:val="006010A4"/>
    <w:rsid w:val="0060179D"/>
    <w:rsid w:val="006020BB"/>
    <w:rsid w:val="00602409"/>
    <w:rsid w:val="006030A2"/>
    <w:rsid w:val="006034E2"/>
    <w:rsid w:val="00604614"/>
    <w:rsid w:val="006050A5"/>
    <w:rsid w:val="006057D8"/>
    <w:rsid w:val="00605CE9"/>
    <w:rsid w:val="00607CE4"/>
    <w:rsid w:val="00607FBB"/>
    <w:rsid w:val="00610483"/>
    <w:rsid w:val="00610CA1"/>
    <w:rsid w:val="00611E67"/>
    <w:rsid w:val="006129F4"/>
    <w:rsid w:val="006153A5"/>
    <w:rsid w:val="0061548E"/>
    <w:rsid w:val="00615623"/>
    <w:rsid w:val="00615A2B"/>
    <w:rsid w:val="00615EBF"/>
    <w:rsid w:val="00616781"/>
    <w:rsid w:val="00616B42"/>
    <w:rsid w:val="00616D05"/>
    <w:rsid w:val="00617275"/>
    <w:rsid w:val="00620CC3"/>
    <w:rsid w:val="00620DEE"/>
    <w:rsid w:val="006217DE"/>
    <w:rsid w:val="00621866"/>
    <w:rsid w:val="006218B8"/>
    <w:rsid w:val="00621FDA"/>
    <w:rsid w:val="00623514"/>
    <w:rsid w:val="006235D4"/>
    <w:rsid w:val="00623F7D"/>
    <w:rsid w:val="006243B5"/>
    <w:rsid w:val="006243E5"/>
    <w:rsid w:val="00625BCA"/>
    <w:rsid w:val="00625CCD"/>
    <w:rsid w:val="00627B39"/>
    <w:rsid w:val="00627F2E"/>
    <w:rsid w:val="0063065D"/>
    <w:rsid w:val="00632594"/>
    <w:rsid w:val="00632C48"/>
    <w:rsid w:val="00633BD9"/>
    <w:rsid w:val="006342CD"/>
    <w:rsid w:val="00634B13"/>
    <w:rsid w:val="00634F30"/>
    <w:rsid w:val="00635752"/>
    <w:rsid w:val="006362FF"/>
    <w:rsid w:val="006368DC"/>
    <w:rsid w:val="006375F1"/>
    <w:rsid w:val="00637A74"/>
    <w:rsid w:val="00637A96"/>
    <w:rsid w:val="00637CD6"/>
    <w:rsid w:val="00640E2E"/>
    <w:rsid w:val="00641236"/>
    <w:rsid w:val="00641F01"/>
    <w:rsid w:val="0064331E"/>
    <w:rsid w:val="00644D87"/>
    <w:rsid w:val="0064554B"/>
    <w:rsid w:val="006465BC"/>
    <w:rsid w:val="00647793"/>
    <w:rsid w:val="006477E2"/>
    <w:rsid w:val="00647AEA"/>
    <w:rsid w:val="00647C05"/>
    <w:rsid w:val="006500A9"/>
    <w:rsid w:val="00652283"/>
    <w:rsid w:val="006523DF"/>
    <w:rsid w:val="00652F26"/>
    <w:rsid w:val="006531A9"/>
    <w:rsid w:val="00653C3E"/>
    <w:rsid w:val="00654643"/>
    <w:rsid w:val="006563ED"/>
    <w:rsid w:val="00656403"/>
    <w:rsid w:val="006565FA"/>
    <w:rsid w:val="00656B83"/>
    <w:rsid w:val="0065740B"/>
    <w:rsid w:val="00660229"/>
    <w:rsid w:val="006607E0"/>
    <w:rsid w:val="00661322"/>
    <w:rsid w:val="006615CE"/>
    <w:rsid w:val="006618F4"/>
    <w:rsid w:val="00662DE0"/>
    <w:rsid w:val="006632E2"/>
    <w:rsid w:val="0066345A"/>
    <w:rsid w:val="00663F5F"/>
    <w:rsid w:val="006642CE"/>
    <w:rsid w:val="00664858"/>
    <w:rsid w:val="00664D0F"/>
    <w:rsid w:val="00665708"/>
    <w:rsid w:val="0066576D"/>
    <w:rsid w:val="00666328"/>
    <w:rsid w:val="006667DE"/>
    <w:rsid w:val="00667011"/>
    <w:rsid w:val="006678A7"/>
    <w:rsid w:val="006678D7"/>
    <w:rsid w:val="00667B0F"/>
    <w:rsid w:val="0067041A"/>
    <w:rsid w:val="00670A11"/>
    <w:rsid w:val="00671098"/>
    <w:rsid w:val="006710CB"/>
    <w:rsid w:val="006719AF"/>
    <w:rsid w:val="00671B62"/>
    <w:rsid w:val="00671C7C"/>
    <w:rsid w:val="00672535"/>
    <w:rsid w:val="0067298D"/>
    <w:rsid w:val="0067387B"/>
    <w:rsid w:val="00673C43"/>
    <w:rsid w:val="006749D0"/>
    <w:rsid w:val="00674C5E"/>
    <w:rsid w:val="00675D7F"/>
    <w:rsid w:val="00675E07"/>
    <w:rsid w:val="00675F35"/>
    <w:rsid w:val="00676A40"/>
    <w:rsid w:val="00680F59"/>
    <w:rsid w:val="00681255"/>
    <w:rsid w:val="00681A01"/>
    <w:rsid w:val="00682856"/>
    <w:rsid w:val="006833AD"/>
    <w:rsid w:val="00683672"/>
    <w:rsid w:val="00686698"/>
    <w:rsid w:val="00686B17"/>
    <w:rsid w:val="006910FD"/>
    <w:rsid w:val="006937F9"/>
    <w:rsid w:val="00693801"/>
    <w:rsid w:val="0069398B"/>
    <w:rsid w:val="00694338"/>
    <w:rsid w:val="00694BEE"/>
    <w:rsid w:val="006950B1"/>
    <w:rsid w:val="006A0038"/>
    <w:rsid w:val="006A07F5"/>
    <w:rsid w:val="006A0B8A"/>
    <w:rsid w:val="006A1817"/>
    <w:rsid w:val="006A21DE"/>
    <w:rsid w:val="006A26C9"/>
    <w:rsid w:val="006A3B46"/>
    <w:rsid w:val="006A536F"/>
    <w:rsid w:val="006A589D"/>
    <w:rsid w:val="006A5A73"/>
    <w:rsid w:val="006A6C82"/>
    <w:rsid w:val="006A7CB1"/>
    <w:rsid w:val="006B02D7"/>
    <w:rsid w:val="006B0E3F"/>
    <w:rsid w:val="006B1910"/>
    <w:rsid w:val="006B2956"/>
    <w:rsid w:val="006B29CB"/>
    <w:rsid w:val="006B3AC1"/>
    <w:rsid w:val="006B4A2F"/>
    <w:rsid w:val="006B4C22"/>
    <w:rsid w:val="006B5018"/>
    <w:rsid w:val="006B5441"/>
    <w:rsid w:val="006B5C1F"/>
    <w:rsid w:val="006B6F27"/>
    <w:rsid w:val="006B75CC"/>
    <w:rsid w:val="006B7CC9"/>
    <w:rsid w:val="006C06AF"/>
    <w:rsid w:val="006C0980"/>
    <w:rsid w:val="006C13A4"/>
    <w:rsid w:val="006C1A9E"/>
    <w:rsid w:val="006C1EC4"/>
    <w:rsid w:val="006C26EF"/>
    <w:rsid w:val="006C2BC4"/>
    <w:rsid w:val="006C3C43"/>
    <w:rsid w:val="006C484E"/>
    <w:rsid w:val="006C4A1B"/>
    <w:rsid w:val="006C5258"/>
    <w:rsid w:val="006C5B3D"/>
    <w:rsid w:val="006C67BE"/>
    <w:rsid w:val="006C709E"/>
    <w:rsid w:val="006C74F7"/>
    <w:rsid w:val="006D057E"/>
    <w:rsid w:val="006D189F"/>
    <w:rsid w:val="006D1FAC"/>
    <w:rsid w:val="006D226C"/>
    <w:rsid w:val="006D2278"/>
    <w:rsid w:val="006D2620"/>
    <w:rsid w:val="006D2FA3"/>
    <w:rsid w:val="006D3288"/>
    <w:rsid w:val="006D3CE3"/>
    <w:rsid w:val="006D41FD"/>
    <w:rsid w:val="006D48BA"/>
    <w:rsid w:val="006D4C66"/>
    <w:rsid w:val="006D549E"/>
    <w:rsid w:val="006D5E5C"/>
    <w:rsid w:val="006D63FA"/>
    <w:rsid w:val="006D6537"/>
    <w:rsid w:val="006D72C0"/>
    <w:rsid w:val="006D774F"/>
    <w:rsid w:val="006D7D9A"/>
    <w:rsid w:val="006D7DFB"/>
    <w:rsid w:val="006E00FB"/>
    <w:rsid w:val="006E0652"/>
    <w:rsid w:val="006E16D6"/>
    <w:rsid w:val="006E1C4E"/>
    <w:rsid w:val="006E21B9"/>
    <w:rsid w:val="006E22BB"/>
    <w:rsid w:val="006E2844"/>
    <w:rsid w:val="006E29CC"/>
    <w:rsid w:val="006E337A"/>
    <w:rsid w:val="006E4A87"/>
    <w:rsid w:val="006E4D76"/>
    <w:rsid w:val="006E5421"/>
    <w:rsid w:val="006E566F"/>
    <w:rsid w:val="006E5FD5"/>
    <w:rsid w:val="006E69C5"/>
    <w:rsid w:val="006E7839"/>
    <w:rsid w:val="006F013A"/>
    <w:rsid w:val="006F06A5"/>
    <w:rsid w:val="006F0901"/>
    <w:rsid w:val="006F16EA"/>
    <w:rsid w:val="006F352A"/>
    <w:rsid w:val="006F35A1"/>
    <w:rsid w:val="006F3AB7"/>
    <w:rsid w:val="006F3F76"/>
    <w:rsid w:val="006F45AF"/>
    <w:rsid w:val="006F4C7F"/>
    <w:rsid w:val="006F6573"/>
    <w:rsid w:val="006F679F"/>
    <w:rsid w:val="006F7696"/>
    <w:rsid w:val="00700FB7"/>
    <w:rsid w:val="0070143C"/>
    <w:rsid w:val="00701BD8"/>
    <w:rsid w:val="00701C72"/>
    <w:rsid w:val="007023E3"/>
    <w:rsid w:val="0070301B"/>
    <w:rsid w:val="007031A8"/>
    <w:rsid w:val="00703DC1"/>
    <w:rsid w:val="0070499F"/>
    <w:rsid w:val="00704C25"/>
    <w:rsid w:val="00705C1A"/>
    <w:rsid w:val="0070633B"/>
    <w:rsid w:val="00706480"/>
    <w:rsid w:val="00706C5A"/>
    <w:rsid w:val="0070729A"/>
    <w:rsid w:val="007079B4"/>
    <w:rsid w:val="00710448"/>
    <w:rsid w:val="00710C06"/>
    <w:rsid w:val="00710FBC"/>
    <w:rsid w:val="00712C0A"/>
    <w:rsid w:val="00712DA5"/>
    <w:rsid w:val="00713294"/>
    <w:rsid w:val="00713E76"/>
    <w:rsid w:val="00714892"/>
    <w:rsid w:val="00716801"/>
    <w:rsid w:val="00716B9F"/>
    <w:rsid w:val="00717440"/>
    <w:rsid w:val="00717BCD"/>
    <w:rsid w:val="00717F58"/>
    <w:rsid w:val="00721348"/>
    <w:rsid w:val="0072149A"/>
    <w:rsid w:val="007221E1"/>
    <w:rsid w:val="00722469"/>
    <w:rsid w:val="007225D7"/>
    <w:rsid w:val="0072291E"/>
    <w:rsid w:val="0072327C"/>
    <w:rsid w:val="00723572"/>
    <w:rsid w:val="00723ABA"/>
    <w:rsid w:val="00723C49"/>
    <w:rsid w:val="00724013"/>
    <w:rsid w:val="0072523E"/>
    <w:rsid w:val="00725243"/>
    <w:rsid w:val="00725478"/>
    <w:rsid w:val="00725492"/>
    <w:rsid w:val="00726EE6"/>
    <w:rsid w:val="00727522"/>
    <w:rsid w:val="007301CF"/>
    <w:rsid w:val="00730377"/>
    <w:rsid w:val="0073147A"/>
    <w:rsid w:val="007335A1"/>
    <w:rsid w:val="00734CFE"/>
    <w:rsid w:val="00735A31"/>
    <w:rsid w:val="0073642E"/>
    <w:rsid w:val="00737CD8"/>
    <w:rsid w:val="00737E3C"/>
    <w:rsid w:val="0074080C"/>
    <w:rsid w:val="00740D8D"/>
    <w:rsid w:val="007410ED"/>
    <w:rsid w:val="0074138A"/>
    <w:rsid w:val="00741819"/>
    <w:rsid w:val="00742238"/>
    <w:rsid w:val="00742514"/>
    <w:rsid w:val="0074259E"/>
    <w:rsid w:val="007427AA"/>
    <w:rsid w:val="00742D9C"/>
    <w:rsid w:val="00743570"/>
    <w:rsid w:val="00744387"/>
    <w:rsid w:val="00744C91"/>
    <w:rsid w:val="00745761"/>
    <w:rsid w:val="00745888"/>
    <w:rsid w:val="007459D7"/>
    <w:rsid w:val="00746854"/>
    <w:rsid w:val="007475F3"/>
    <w:rsid w:val="00747607"/>
    <w:rsid w:val="00747797"/>
    <w:rsid w:val="007477CF"/>
    <w:rsid w:val="007479D8"/>
    <w:rsid w:val="00750120"/>
    <w:rsid w:val="00750FA9"/>
    <w:rsid w:val="00752844"/>
    <w:rsid w:val="00752AEF"/>
    <w:rsid w:val="00753792"/>
    <w:rsid w:val="00754384"/>
    <w:rsid w:val="007552A2"/>
    <w:rsid w:val="0075584F"/>
    <w:rsid w:val="00755AE0"/>
    <w:rsid w:val="0075645A"/>
    <w:rsid w:val="00756C41"/>
    <w:rsid w:val="007576BC"/>
    <w:rsid w:val="007577AB"/>
    <w:rsid w:val="00757AF0"/>
    <w:rsid w:val="00757B4C"/>
    <w:rsid w:val="00760631"/>
    <w:rsid w:val="00761953"/>
    <w:rsid w:val="00761984"/>
    <w:rsid w:val="007623A3"/>
    <w:rsid w:val="00762ABA"/>
    <w:rsid w:val="00762F0B"/>
    <w:rsid w:val="0076316D"/>
    <w:rsid w:val="007653EB"/>
    <w:rsid w:val="00765D49"/>
    <w:rsid w:val="00766367"/>
    <w:rsid w:val="00767034"/>
    <w:rsid w:val="007679DC"/>
    <w:rsid w:val="007706C4"/>
    <w:rsid w:val="00770765"/>
    <w:rsid w:val="00770A6A"/>
    <w:rsid w:val="007712C6"/>
    <w:rsid w:val="007716C3"/>
    <w:rsid w:val="007734EF"/>
    <w:rsid w:val="00773BD5"/>
    <w:rsid w:val="00773CCE"/>
    <w:rsid w:val="00774269"/>
    <w:rsid w:val="0077448B"/>
    <w:rsid w:val="00774B59"/>
    <w:rsid w:val="007758B0"/>
    <w:rsid w:val="00775DBC"/>
    <w:rsid w:val="00776BC1"/>
    <w:rsid w:val="00777AD5"/>
    <w:rsid w:val="007809D8"/>
    <w:rsid w:val="00780E73"/>
    <w:rsid w:val="007815E4"/>
    <w:rsid w:val="007829E9"/>
    <w:rsid w:val="00783698"/>
    <w:rsid w:val="00785215"/>
    <w:rsid w:val="007856DF"/>
    <w:rsid w:val="007857E9"/>
    <w:rsid w:val="007879B8"/>
    <w:rsid w:val="00787DBE"/>
    <w:rsid w:val="007916E3"/>
    <w:rsid w:val="00791C0B"/>
    <w:rsid w:val="00793096"/>
    <w:rsid w:val="00794143"/>
    <w:rsid w:val="00794D9A"/>
    <w:rsid w:val="00796256"/>
    <w:rsid w:val="007966A8"/>
    <w:rsid w:val="00797145"/>
    <w:rsid w:val="007971DA"/>
    <w:rsid w:val="0079796A"/>
    <w:rsid w:val="007A057E"/>
    <w:rsid w:val="007A08FA"/>
    <w:rsid w:val="007A0D12"/>
    <w:rsid w:val="007A1256"/>
    <w:rsid w:val="007A31BA"/>
    <w:rsid w:val="007A462C"/>
    <w:rsid w:val="007A5087"/>
    <w:rsid w:val="007A51D5"/>
    <w:rsid w:val="007A549F"/>
    <w:rsid w:val="007A5AAE"/>
    <w:rsid w:val="007A6E3D"/>
    <w:rsid w:val="007A7AA1"/>
    <w:rsid w:val="007A7E12"/>
    <w:rsid w:val="007B0BC4"/>
    <w:rsid w:val="007B0F0F"/>
    <w:rsid w:val="007B1328"/>
    <w:rsid w:val="007B135A"/>
    <w:rsid w:val="007B13E8"/>
    <w:rsid w:val="007B14D4"/>
    <w:rsid w:val="007B1510"/>
    <w:rsid w:val="007B1671"/>
    <w:rsid w:val="007B1A17"/>
    <w:rsid w:val="007B1A78"/>
    <w:rsid w:val="007B1D58"/>
    <w:rsid w:val="007B2B8B"/>
    <w:rsid w:val="007B3032"/>
    <w:rsid w:val="007B34FB"/>
    <w:rsid w:val="007B3BC5"/>
    <w:rsid w:val="007B4CA0"/>
    <w:rsid w:val="007B5747"/>
    <w:rsid w:val="007B66BB"/>
    <w:rsid w:val="007B69EB"/>
    <w:rsid w:val="007B6C55"/>
    <w:rsid w:val="007B6EE3"/>
    <w:rsid w:val="007B7BB4"/>
    <w:rsid w:val="007C3251"/>
    <w:rsid w:val="007C377A"/>
    <w:rsid w:val="007C3789"/>
    <w:rsid w:val="007C5A69"/>
    <w:rsid w:val="007C5C96"/>
    <w:rsid w:val="007C6560"/>
    <w:rsid w:val="007C6EE0"/>
    <w:rsid w:val="007D0B75"/>
    <w:rsid w:val="007D0C06"/>
    <w:rsid w:val="007D10F5"/>
    <w:rsid w:val="007D24B7"/>
    <w:rsid w:val="007D3097"/>
    <w:rsid w:val="007D32CB"/>
    <w:rsid w:val="007D41E7"/>
    <w:rsid w:val="007D508C"/>
    <w:rsid w:val="007D5190"/>
    <w:rsid w:val="007D53A4"/>
    <w:rsid w:val="007D552E"/>
    <w:rsid w:val="007D598C"/>
    <w:rsid w:val="007D5AAC"/>
    <w:rsid w:val="007D62D1"/>
    <w:rsid w:val="007D710F"/>
    <w:rsid w:val="007D72A9"/>
    <w:rsid w:val="007D7383"/>
    <w:rsid w:val="007D7479"/>
    <w:rsid w:val="007D75FD"/>
    <w:rsid w:val="007D7737"/>
    <w:rsid w:val="007D7BE5"/>
    <w:rsid w:val="007E03A2"/>
    <w:rsid w:val="007E10B7"/>
    <w:rsid w:val="007E10D8"/>
    <w:rsid w:val="007E1E2B"/>
    <w:rsid w:val="007E4669"/>
    <w:rsid w:val="007E4A80"/>
    <w:rsid w:val="007E4B0F"/>
    <w:rsid w:val="007E50DB"/>
    <w:rsid w:val="007E50E1"/>
    <w:rsid w:val="007E51E4"/>
    <w:rsid w:val="007E60E5"/>
    <w:rsid w:val="007E64E9"/>
    <w:rsid w:val="007E6680"/>
    <w:rsid w:val="007E6C4B"/>
    <w:rsid w:val="007E7BD4"/>
    <w:rsid w:val="007F0112"/>
    <w:rsid w:val="007F0CF9"/>
    <w:rsid w:val="007F244E"/>
    <w:rsid w:val="007F2EAD"/>
    <w:rsid w:val="007F37FE"/>
    <w:rsid w:val="007F3D02"/>
    <w:rsid w:val="007F4B70"/>
    <w:rsid w:val="007F514B"/>
    <w:rsid w:val="007F6515"/>
    <w:rsid w:val="007F66A4"/>
    <w:rsid w:val="007F6A0E"/>
    <w:rsid w:val="007F6FB7"/>
    <w:rsid w:val="00801A56"/>
    <w:rsid w:val="0080214A"/>
    <w:rsid w:val="00802383"/>
    <w:rsid w:val="00802D33"/>
    <w:rsid w:val="008032FF"/>
    <w:rsid w:val="00803730"/>
    <w:rsid w:val="00804406"/>
    <w:rsid w:val="008053AD"/>
    <w:rsid w:val="008053CC"/>
    <w:rsid w:val="008062CE"/>
    <w:rsid w:val="00806E45"/>
    <w:rsid w:val="008070B7"/>
    <w:rsid w:val="0080723A"/>
    <w:rsid w:val="008074A9"/>
    <w:rsid w:val="0081075B"/>
    <w:rsid w:val="008122E6"/>
    <w:rsid w:val="008125B4"/>
    <w:rsid w:val="00813AAD"/>
    <w:rsid w:val="00814D11"/>
    <w:rsid w:val="00814E3C"/>
    <w:rsid w:val="00815476"/>
    <w:rsid w:val="00815E13"/>
    <w:rsid w:val="0081674F"/>
    <w:rsid w:val="008177B9"/>
    <w:rsid w:val="008177BC"/>
    <w:rsid w:val="00817B88"/>
    <w:rsid w:val="00817F2E"/>
    <w:rsid w:val="00820798"/>
    <w:rsid w:val="008209BE"/>
    <w:rsid w:val="00820F51"/>
    <w:rsid w:val="00821B9F"/>
    <w:rsid w:val="0082200C"/>
    <w:rsid w:val="00823248"/>
    <w:rsid w:val="0082345D"/>
    <w:rsid w:val="00823723"/>
    <w:rsid w:val="0082479A"/>
    <w:rsid w:val="00826114"/>
    <w:rsid w:val="008262C6"/>
    <w:rsid w:val="00826558"/>
    <w:rsid w:val="008267DB"/>
    <w:rsid w:val="0082683B"/>
    <w:rsid w:val="00826AB8"/>
    <w:rsid w:val="00827438"/>
    <w:rsid w:val="00827E9D"/>
    <w:rsid w:val="00830704"/>
    <w:rsid w:val="00831295"/>
    <w:rsid w:val="008328DE"/>
    <w:rsid w:val="0083450A"/>
    <w:rsid w:val="008348A1"/>
    <w:rsid w:val="00835167"/>
    <w:rsid w:val="008372D3"/>
    <w:rsid w:val="00837764"/>
    <w:rsid w:val="00837E7A"/>
    <w:rsid w:val="00840166"/>
    <w:rsid w:val="00840FDD"/>
    <w:rsid w:val="00841364"/>
    <w:rsid w:val="00841E6D"/>
    <w:rsid w:val="00843139"/>
    <w:rsid w:val="00843E30"/>
    <w:rsid w:val="008446CC"/>
    <w:rsid w:val="00845161"/>
    <w:rsid w:val="008459A3"/>
    <w:rsid w:val="00847310"/>
    <w:rsid w:val="00850BAE"/>
    <w:rsid w:val="00851030"/>
    <w:rsid w:val="0085166A"/>
    <w:rsid w:val="0085238F"/>
    <w:rsid w:val="0085363A"/>
    <w:rsid w:val="00853C79"/>
    <w:rsid w:val="00854414"/>
    <w:rsid w:val="008555A6"/>
    <w:rsid w:val="00855F42"/>
    <w:rsid w:val="00856416"/>
    <w:rsid w:val="00857A89"/>
    <w:rsid w:val="00857AC6"/>
    <w:rsid w:val="00857FCE"/>
    <w:rsid w:val="00860E9E"/>
    <w:rsid w:val="00860FBB"/>
    <w:rsid w:val="008613F6"/>
    <w:rsid w:val="008619CF"/>
    <w:rsid w:val="00861D70"/>
    <w:rsid w:val="00862225"/>
    <w:rsid w:val="00863CD9"/>
    <w:rsid w:val="00863E98"/>
    <w:rsid w:val="00864D7C"/>
    <w:rsid w:val="00866A78"/>
    <w:rsid w:val="008670CD"/>
    <w:rsid w:val="0086728B"/>
    <w:rsid w:val="008678DF"/>
    <w:rsid w:val="00870E95"/>
    <w:rsid w:val="0087185F"/>
    <w:rsid w:val="00872042"/>
    <w:rsid w:val="00872631"/>
    <w:rsid w:val="008731FD"/>
    <w:rsid w:val="00873210"/>
    <w:rsid w:val="00873221"/>
    <w:rsid w:val="008742BE"/>
    <w:rsid w:val="008764D4"/>
    <w:rsid w:val="008772D7"/>
    <w:rsid w:val="00880868"/>
    <w:rsid w:val="008818D8"/>
    <w:rsid w:val="00882B30"/>
    <w:rsid w:val="008835DC"/>
    <w:rsid w:val="00883D8D"/>
    <w:rsid w:val="00884B82"/>
    <w:rsid w:val="0088501E"/>
    <w:rsid w:val="00886BE9"/>
    <w:rsid w:val="008902E3"/>
    <w:rsid w:val="00890E21"/>
    <w:rsid w:val="00892687"/>
    <w:rsid w:val="00893122"/>
    <w:rsid w:val="008934BB"/>
    <w:rsid w:val="00893695"/>
    <w:rsid w:val="008953DD"/>
    <w:rsid w:val="00895892"/>
    <w:rsid w:val="00897813"/>
    <w:rsid w:val="008A1587"/>
    <w:rsid w:val="008A1DE6"/>
    <w:rsid w:val="008A28FB"/>
    <w:rsid w:val="008A2C52"/>
    <w:rsid w:val="008A2F00"/>
    <w:rsid w:val="008A3EA2"/>
    <w:rsid w:val="008A50B4"/>
    <w:rsid w:val="008A5E76"/>
    <w:rsid w:val="008A5F04"/>
    <w:rsid w:val="008A6067"/>
    <w:rsid w:val="008A72A2"/>
    <w:rsid w:val="008A7BEF"/>
    <w:rsid w:val="008B2E22"/>
    <w:rsid w:val="008B3097"/>
    <w:rsid w:val="008B4680"/>
    <w:rsid w:val="008B4CE3"/>
    <w:rsid w:val="008B5264"/>
    <w:rsid w:val="008B578C"/>
    <w:rsid w:val="008B5939"/>
    <w:rsid w:val="008B5D61"/>
    <w:rsid w:val="008B6E54"/>
    <w:rsid w:val="008C0787"/>
    <w:rsid w:val="008C14A6"/>
    <w:rsid w:val="008C151A"/>
    <w:rsid w:val="008C18EA"/>
    <w:rsid w:val="008C1F36"/>
    <w:rsid w:val="008C2240"/>
    <w:rsid w:val="008C31C3"/>
    <w:rsid w:val="008C3E59"/>
    <w:rsid w:val="008C3EC1"/>
    <w:rsid w:val="008C4B24"/>
    <w:rsid w:val="008C533F"/>
    <w:rsid w:val="008C5C38"/>
    <w:rsid w:val="008C671A"/>
    <w:rsid w:val="008C6880"/>
    <w:rsid w:val="008C692C"/>
    <w:rsid w:val="008C707C"/>
    <w:rsid w:val="008D036D"/>
    <w:rsid w:val="008D0831"/>
    <w:rsid w:val="008D0AA1"/>
    <w:rsid w:val="008D114E"/>
    <w:rsid w:val="008D3A24"/>
    <w:rsid w:val="008D4283"/>
    <w:rsid w:val="008D42AB"/>
    <w:rsid w:val="008D480D"/>
    <w:rsid w:val="008D4A4D"/>
    <w:rsid w:val="008D5106"/>
    <w:rsid w:val="008D5297"/>
    <w:rsid w:val="008D6113"/>
    <w:rsid w:val="008D619E"/>
    <w:rsid w:val="008D668F"/>
    <w:rsid w:val="008D6A2C"/>
    <w:rsid w:val="008E005C"/>
    <w:rsid w:val="008E00AE"/>
    <w:rsid w:val="008E034C"/>
    <w:rsid w:val="008E17DC"/>
    <w:rsid w:val="008E2FAB"/>
    <w:rsid w:val="008E2FE7"/>
    <w:rsid w:val="008E31CD"/>
    <w:rsid w:val="008E340C"/>
    <w:rsid w:val="008E4082"/>
    <w:rsid w:val="008E4635"/>
    <w:rsid w:val="008E48C6"/>
    <w:rsid w:val="008E5805"/>
    <w:rsid w:val="008E6945"/>
    <w:rsid w:val="008E6CA9"/>
    <w:rsid w:val="008E7483"/>
    <w:rsid w:val="008E75A7"/>
    <w:rsid w:val="008F0112"/>
    <w:rsid w:val="008F084E"/>
    <w:rsid w:val="008F0A5E"/>
    <w:rsid w:val="008F1641"/>
    <w:rsid w:val="008F1E1E"/>
    <w:rsid w:val="008F2974"/>
    <w:rsid w:val="008F4011"/>
    <w:rsid w:val="008F4294"/>
    <w:rsid w:val="008F4A6C"/>
    <w:rsid w:val="008F501B"/>
    <w:rsid w:val="008F6106"/>
    <w:rsid w:val="008F68C4"/>
    <w:rsid w:val="00900271"/>
    <w:rsid w:val="009008A2"/>
    <w:rsid w:val="00900A9E"/>
    <w:rsid w:val="00900C88"/>
    <w:rsid w:val="00900FDA"/>
    <w:rsid w:val="00902F88"/>
    <w:rsid w:val="009049B8"/>
    <w:rsid w:val="00905F3C"/>
    <w:rsid w:val="00905F6B"/>
    <w:rsid w:val="009061A4"/>
    <w:rsid w:val="00907FBB"/>
    <w:rsid w:val="0091034E"/>
    <w:rsid w:val="00913826"/>
    <w:rsid w:val="0091498D"/>
    <w:rsid w:val="00915DA9"/>
    <w:rsid w:val="00916170"/>
    <w:rsid w:val="009172FC"/>
    <w:rsid w:val="009177E8"/>
    <w:rsid w:val="009202E7"/>
    <w:rsid w:val="009204A3"/>
    <w:rsid w:val="0092177C"/>
    <w:rsid w:val="009219BF"/>
    <w:rsid w:val="00921C6B"/>
    <w:rsid w:val="0092233B"/>
    <w:rsid w:val="00923050"/>
    <w:rsid w:val="0092407E"/>
    <w:rsid w:val="00924BE1"/>
    <w:rsid w:val="00925F35"/>
    <w:rsid w:val="009270DB"/>
    <w:rsid w:val="00930518"/>
    <w:rsid w:val="009313FC"/>
    <w:rsid w:val="00931459"/>
    <w:rsid w:val="009322B0"/>
    <w:rsid w:val="009334C2"/>
    <w:rsid w:val="0093443C"/>
    <w:rsid w:val="009344AE"/>
    <w:rsid w:val="00934B22"/>
    <w:rsid w:val="00934E97"/>
    <w:rsid w:val="009370EA"/>
    <w:rsid w:val="00937192"/>
    <w:rsid w:val="00937216"/>
    <w:rsid w:val="00937DB5"/>
    <w:rsid w:val="0094008C"/>
    <w:rsid w:val="0094052F"/>
    <w:rsid w:val="009409E0"/>
    <w:rsid w:val="00940CEB"/>
    <w:rsid w:val="00940E30"/>
    <w:rsid w:val="00940E36"/>
    <w:rsid w:val="009413D8"/>
    <w:rsid w:val="009416D6"/>
    <w:rsid w:val="00941A85"/>
    <w:rsid w:val="00942F22"/>
    <w:rsid w:val="00943535"/>
    <w:rsid w:val="009441B6"/>
    <w:rsid w:val="009459C1"/>
    <w:rsid w:val="00945B6D"/>
    <w:rsid w:val="00945DEF"/>
    <w:rsid w:val="00945E81"/>
    <w:rsid w:val="00946935"/>
    <w:rsid w:val="009472BD"/>
    <w:rsid w:val="00947E6F"/>
    <w:rsid w:val="00947F8A"/>
    <w:rsid w:val="009519FF"/>
    <w:rsid w:val="00951EF9"/>
    <w:rsid w:val="0095205A"/>
    <w:rsid w:val="0095245E"/>
    <w:rsid w:val="0095294A"/>
    <w:rsid w:val="0095296A"/>
    <w:rsid w:val="00952EDE"/>
    <w:rsid w:val="009546FB"/>
    <w:rsid w:val="00954B7E"/>
    <w:rsid w:val="00954C6F"/>
    <w:rsid w:val="00955A79"/>
    <w:rsid w:val="0095699F"/>
    <w:rsid w:val="0096019F"/>
    <w:rsid w:val="0096077F"/>
    <w:rsid w:val="00961DBF"/>
    <w:rsid w:val="00962039"/>
    <w:rsid w:val="00962402"/>
    <w:rsid w:val="009636E2"/>
    <w:rsid w:val="00964207"/>
    <w:rsid w:val="009643EE"/>
    <w:rsid w:val="00964429"/>
    <w:rsid w:val="00964DB0"/>
    <w:rsid w:val="009650A7"/>
    <w:rsid w:val="009669EB"/>
    <w:rsid w:val="00966DFF"/>
    <w:rsid w:val="00966E5D"/>
    <w:rsid w:val="00967927"/>
    <w:rsid w:val="00970831"/>
    <w:rsid w:val="00970D83"/>
    <w:rsid w:val="00973740"/>
    <w:rsid w:val="0097397F"/>
    <w:rsid w:val="00973BDB"/>
    <w:rsid w:val="00974032"/>
    <w:rsid w:val="00974059"/>
    <w:rsid w:val="00974BC5"/>
    <w:rsid w:val="00974F20"/>
    <w:rsid w:val="0097620F"/>
    <w:rsid w:val="009774BD"/>
    <w:rsid w:val="00977534"/>
    <w:rsid w:val="009775FB"/>
    <w:rsid w:val="00977B92"/>
    <w:rsid w:val="0098043D"/>
    <w:rsid w:val="009806E1"/>
    <w:rsid w:val="009808D0"/>
    <w:rsid w:val="00980EF1"/>
    <w:rsid w:val="00981008"/>
    <w:rsid w:val="00981208"/>
    <w:rsid w:val="0098245B"/>
    <w:rsid w:val="00983458"/>
    <w:rsid w:val="00983733"/>
    <w:rsid w:val="009839FD"/>
    <w:rsid w:val="009843E9"/>
    <w:rsid w:val="009846FE"/>
    <w:rsid w:val="00984D3D"/>
    <w:rsid w:val="009851D6"/>
    <w:rsid w:val="0098598E"/>
    <w:rsid w:val="00985A70"/>
    <w:rsid w:val="00985D2B"/>
    <w:rsid w:val="009869E7"/>
    <w:rsid w:val="00986B67"/>
    <w:rsid w:val="00986E85"/>
    <w:rsid w:val="009877B4"/>
    <w:rsid w:val="00990B95"/>
    <w:rsid w:val="00990CDD"/>
    <w:rsid w:val="00991DA6"/>
    <w:rsid w:val="009929C0"/>
    <w:rsid w:val="00992E08"/>
    <w:rsid w:val="00993D5C"/>
    <w:rsid w:val="00994871"/>
    <w:rsid w:val="00995404"/>
    <w:rsid w:val="009963AA"/>
    <w:rsid w:val="00996946"/>
    <w:rsid w:val="00996CBA"/>
    <w:rsid w:val="00996FA2"/>
    <w:rsid w:val="009971A3"/>
    <w:rsid w:val="00997AD3"/>
    <w:rsid w:val="009A0363"/>
    <w:rsid w:val="009A174F"/>
    <w:rsid w:val="009A1C6F"/>
    <w:rsid w:val="009A1F15"/>
    <w:rsid w:val="009A25F4"/>
    <w:rsid w:val="009A2B27"/>
    <w:rsid w:val="009A3332"/>
    <w:rsid w:val="009A4123"/>
    <w:rsid w:val="009A5235"/>
    <w:rsid w:val="009A58A9"/>
    <w:rsid w:val="009A6282"/>
    <w:rsid w:val="009A645B"/>
    <w:rsid w:val="009A73B6"/>
    <w:rsid w:val="009B04E8"/>
    <w:rsid w:val="009B2D52"/>
    <w:rsid w:val="009B33F7"/>
    <w:rsid w:val="009B3CAC"/>
    <w:rsid w:val="009B4204"/>
    <w:rsid w:val="009B486B"/>
    <w:rsid w:val="009B4DA4"/>
    <w:rsid w:val="009B551A"/>
    <w:rsid w:val="009B58E7"/>
    <w:rsid w:val="009B598D"/>
    <w:rsid w:val="009B5C40"/>
    <w:rsid w:val="009B6610"/>
    <w:rsid w:val="009B70C2"/>
    <w:rsid w:val="009B7948"/>
    <w:rsid w:val="009C04B9"/>
    <w:rsid w:val="009C0AC5"/>
    <w:rsid w:val="009C3E57"/>
    <w:rsid w:val="009C48D0"/>
    <w:rsid w:val="009C48FB"/>
    <w:rsid w:val="009C4D5A"/>
    <w:rsid w:val="009C4DE3"/>
    <w:rsid w:val="009C5195"/>
    <w:rsid w:val="009C5A30"/>
    <w:rsid w:val="009C5B16"/>
    <w:rsid w:val="009C6A7C"/>
    <w:rsid w:val="009C7CF7"/>
    <w:rsid w:val="009D0095"/>
    <w:rsid w:val="009D0708"/>
    <w:rsid w:val="009D2D88"/>
    <w:rsid w:val="009D326B"/>
    <w:rsid w:val="009D43FE"/>
    <w:rsid w:val="009D4AA4"/>
    <w:rsid w:val="009D4AF6"/>
    <w:rsid w:val="009D5547"/>
    <w:rsid w:val="009D75BE"/>
    <w:rsid w:val="009E08BD"/>
    <w:rsid w:val="009E1288"/>
    <w:rsid w:val="009E197B"/>
    <w:rsid w:val="009E2390"/>
    <w:rsid w:val="009E2537"/>
    <w:rsid w:val="009E28AB"/>
    <w:rsid w:val="009E3A74"/>
    <w:rsid w:val="009E5616"/>
    <w:rsid w:val="009E58EC"/>
    <w:rsid w:val="009E5C9A"/>
    <w:rsid w:val="009E77ED"/>
    <w:rsid w:val="009E7E1D"/>
    <w:rsid w:val="009E7F5D"/>
    <w:rsid w:val="009F06CB"/>
    <w:rsid w:val="009F0768"/>
    <w:rsid w:val="009F23EA"/>
    <w:rsid w:val="009F27F8"/>
    <w:rsid w:val="009F3879"/>
    <w:rsid w:val="009F43F4"/>
    <w:rsid w:val="009F4A77"/>
    <w:rsid w:val="009F4A94"/>
    <w:rsid w:val="009F4ECE"/>
    <w:rsid w:val="009F50A1"/>
    <w:rsid w:val="009F581C"/>
    <w:rsid w:val="009F6285"/>
    <w:rsid w:val="009F658C"/>
    <w:rsid w:val="009F767B"/>
    <w:rsid w:val="00A00055"/>
    <w:rsid w:val="00A00131"/>
    <w:rsid w:val="00A00BA2"/>
    <w:rsid w:val="00A00D14"/>
    <w:rsid w:val="00A011EF"/>
    <w:rsid w:val="00A01610"/>
    <w:rsid w:val="00A01B41"/>
    <w:rsid w:val="00A01B64"/>
    <w:rsid w:val="00A03270"/>
    <w:rsid w:val="00A04881"/>
    <w:rsid w:val="00A07723"/>
    <w:rsid w:val="00A07D16"/>
    <w:rsid w:val="00A102B8"/>
    <w:rsid w:val="00A1187D"/>
    <w:rsid w:val="00A11AB0"/>
    <w:rsid w:val="00A125BD"/>
    <w:rsid w:val="00A1276C"/>
    <w:rsid w:val="00A12844"/>
    <w:rsid w:val="00A12F73"/>
    <w:rsid w:val="00A1418E"/>
    <w:rsid w:val="00A14397"/>
    <w:rsid w:val="00A1450C"/>
    <w:rsid w:val="00A14B43"/>
    <w:rsid w:val="00A15F6C"/>
    <w:rsid w:val="00A1616F"/>
    <w:rsid w:val="00A16A10"/>
    <w:rsid w:val="00A16A2A"/>
    <w:rsid w:val="00A1788F"/>
    <w:rsid w:val="00A179D2"/>
    <w:rsid w:val="00A21098"/>
    <w:rsid w:val="00A216FC"/>
    <w:rsid w:val="00A21703"/>
    <w:rsid w:val="00A21B00"/>
    <w:rsid w:val="00A21F72"/>
    <w:rsid w:val="00A2214B"/>
    <w:rsid w:val="00A22C16"/>
    <w:rsid w:val="00A22D3C"/>
    <w:rsid w:val="00A239A2"/>
    <w:rsid w:val="00A2450D"/>
    <w:rsid w:val="00A2487F"/>
    <w:rsid w:val="00A258A9"/>
    <w:rsid w:val="00A25965"/>
    <w:rsid w:val="00A25BD6"/>
    <w:rsid w:val="00A25C3D"/>
    <w:rsid w:val="00A26778"/>
    <w:rsid w:val="00A27470"/>
    <w:rsid w:val="00A2796D"/>
    <w:rsid w:val="00A31EC5"/>
    <w:rsid w:val="00A323A1"/>
    <w:rsid w:val="00A3246D"/>
    <w:rsid w:val="00A3442B"/>
    <w:rsid w:val="00A34C09"/>
    <w:rsid w:val="00A35110"/>
    <w:rsid w:val="00A3595E"/>
    <w:rsid w:val="00A368F1"/>
    <w:rsid w:val="00A36F32"/>
    <w:rsid w:val="00A373C1"/>
    <w:rsid w:val="00A400CD"/>
    <w:rsid w:val="00A401AC"/>
    <w:rsid w:val="00A40225"/>
    <w:rsid w:val="00A4141B"/>
    <w:rsid w:val="00A42A57"/>
    <w:rsid w:val="00A44DED"/>
    <w:rsid w:val="00A4636E"/>
    <w:rsid w:val="00A47D49"/>
    <w:rsid w:val="00A500D5"/>
    <w:rsid w:val="00A50B95"/>
    <w:rsid w:val="00A50FE1"/>
    <w:rsid w:val="00A530FA"/>
    <w:rsid w:val="00A54AD7"/>
    <w:rsid w:val="00A55220"/>
    <w:rsid w:val="00A55A89"/>
    <w:rsid w:val="00A55B8E"/>
    <w:rsid w:val="00A562CC"/>
    <w:rsid w:val="00A5655B"/>
    <w:rsid w:val="00A56F5B"/>
    <w:rsid w:val="00A57DCC"/>
    <w:rsid w:val="00A60370"/>
    <w:rsid w:val="00A60A49"/>
    <w:rsid w:val="00A61CA7"/>
    <w:rsid w:val="00A61DE5"/>
    <w:rsid w:val="00A62166"/>
    <w:rsid w:val="00A62505"/>
    <w:rsid w:val="00A631E5"/>
    <w:rsid w:val="00A6356F"/>
    <w:rsid w:val="00A63957"/>
    <w:rsid w:val="00A64CF9"/>
    <w:rsid w:val="00A667E6"/>
    <w:rsid w:val="00A66D4F"/>
    <w:rsid w:val="00A674F1"/>
    <w:rsid w:val="00A678A1"/>
    <w:rsid w:val="00A67C57"/>
    <w:rsid w:val="00A703D6"/>
    <w:rsid w:val="00A7085D"/>
    <w:rsid w:val="00A72EE0"/>
    <w:rsid w:val="00A731FE"/>
    <w:rsid w:val="00A73293"/>
    <w:rsid w:val="00A73966"/>
    <w:rsid w:val="00A74AC3"/>
    <w:rsid w:val="00A753B4"/>
    <w:rsid w:val="00A765E3"/>
    <w:rsid w:val="00A76ECC"/>
    <w:rsid w:val="00A77B40"/>
    <w:rsid w:val="00A815E4"/>
    <w:rsid w:val="00A81714"/>
    <w:rsid w:val="00A8320D"/>
    <w:rsid w:val="00A83AD5"/>
    <w:rsid w:val="00A83AEE"/>
    <w:rsid w:val="00A8405B"/>
    <w:rsid w:val="00A858B9"/>
    <w:rsid w:val="00A86498"/>
    <w:rsid w:val="00A86625"/>
    <w:rsid w:val="00A86E37"/>
    <w:rsid w:val="00A87D69"/>
    <w:rsid w:val="00A9055A"/>
    <w:rsid w:val="00A905BA"/>
    <w:rsid w:val="00A90833"/>
    <w:rsid w:val="00A90E1B"/>
    <w:rsid w:val="00A90EFC"/>
    <w:rsid w:val="00A91CBA"/>
    <w:rsid w:val="00A93A75"/>
    <w:rsid w:val="00A93ABB"/>
    <w:rsid w:val="00A94644"/>
    <w:rsid w:val="00A95075"/>
    <w:rsid w:val="00A97438"/>
    <w:rsid w:val="00AA1B0A"/>
    <w:rsid w:val="00AA25C9"/>
    <w:rsid w:val="00AA2B32"/>
    <w:rsid w:val="00AA3041"/>
    <w:rsid w:val="00AA354B"/>
    <w:rsid w:val="00AA4B64"/>
    <w:rsid w:val="00AA4BAF"/>
    <w:rsid w:val="00AA4D7D"/>
    <w:rsid w:val="00AA4DB2"/>
    <w:rsid w:val="00AA57BF"/>
    <w:rsid w:val="00AA6492"/>
    <w:rsid w:val="00AA7ABF"/>
    <w:rsid w:val="00AB07EA"/>
    <w:rsid w:val="00AB1659"/>
    <w:rsid w:val="00AB181E"/>
    <w:rsid w:val="00AB3EDD"/>
    <w:rsid w:val="00AB4172"/>
    <w:rsid w:val="00AB457F"/>
    <w:rsid w:val="00AB5516"/>
    <w:rsid w:val="00AB584D"/>
    <w:rsid w:val="00AB623E"/>
    <w:rsid w:val="00AB66EC"/>
    <w:rsid w:val="00AB6CA2"/>
    <w:rsid w:val="00AB7E59"/>
    <w:rsid w:val="00AC0105"/>
    <w:rsid w:val="00AC0A5A"/>
    <w:rsid w:val="00AC0DE5"/>
    <w:rsid w:val="00AC2A75"/>
    <w:rsid w:val="00AC2FE8"/>
    <w:rsid w:val="00AC38B9"/>
    <w:rsid w:val="00AC56E3"/>
    <w:rsid w:val="00AC66DB"/>
    <w:rsid w:val="00AC6E9F"/>
    <w:rsid w:val="00AD116D"/>
    <w:rsid w:val="00AD164F"/>
    <w:rsid w:val="00AD1DE1"/>
    <w:rsid w:val="00AD20D0"/>
    <w:rsid w:val="00AD2353"/>
    <w:rsid w:val="00AD27C0"/>
    <w:rsid w:val="00AD46F6"/>
    <w:rsid w:val="00AD494B"/>
    <w:rsid w:val="00AD4E24"/>
    <w:rsid w:val="00AD540B"/>
    <w:rsid w:val="00AD6BBA"/>
    <w:rsid w:val="00AD6DC9"/>
    <w:rsid w:val="00AD6E90"/>
    <w:rsid w:val="00AE0A50"/>
    <w:rsid w:val="00AE0F1E"/>
    <w:rsid w:val="00AE1049"/>
    <w:rsid w:val="00AE10EE"/>
    <w:rsid w:val="00AE133B"/>
    <w:rsid w:val="00AE1B38"/>
    <w:rsid w:val="00AE20C4"/>
    <w:rsid w:val="00AE2A00"/>
    <w:rsid w:val="00AE41CD"/>
    <w:rsid w:val="00AE41EE"/>
    <w:rsid w:val="00AE4574"/>
    <w:rsid w:val="00AE4743"/>
    <w:rsid w:val="00AE4BA2"/>
    <w:rsid w:val="00AE4D2D"/>
    <w:rsid w:val="00AE5A84"/>
    <w:rsid w:val="00AE6A81"/>
    <w:rsid w:val="00AE6FF9"/>
    <w:rsid w:val="00AE72C9"/>
    <w:rsid w:val="00AF129E"/>
    <w:rsid w:val="00AF2165"/>
    <w:rsid w:val="00AF2839"/>
    <w:rsid w:val="00AF2C11"/>
    <w:rsid w:val="00AF2EDC"/>
    <w:rsid w:val="00AF2F3A"/>
    <w:rsid w:val="00AF3411"/>
    <w:rsid w:val="00AF3C9A"/>
    <w:rsid w:val="00AF426D"/>
    <w:rsid w:val="00AF431B"/>
    <w:rsid w:val="00AF4AD8"/>
    <w:rsid w:val="00AF4D2E"/>
    <w:rsid w:val="00AF55AF"/>
    <w:rsid w:val="00AF692D"/>
    <w:rsid w:val="00B001F6"/>
    <w:rsid w:val="00B004F4"/>
    <w:rsid w:val="00B01B29"/>
    <w:rsid w:val="00B03DBB"/>
    <w:rsid w:val="00B04C9F"/>
    <w:rsid w:val="00B04D1A"/>
    <w:rsid w:val="00B05047"/>
    <w:rsid w:val="00B058A1"/>
    <w:rsid w:val="00B0599F"/>
    <w:rsid w:val="00B05A23"/>
    <w:rsid w:val="00B06AF7"/>
    <w:rsid w:val="00B07019"/>
    <w:rsid w:val="00B0730A"/>
    <w:rsid w:val="00B10A8E"/>
    <w:rsid w:val="00B10CB3"/>
    <w:rsid w:val="00B12265"/>
    <w:rsid w:val="00B125AB"/>
    <w:rsid w:val="00B126F6"/>
    <w:rsid w:val="00B127C4"/>
    <w:rsid w:val="00B1288B"/>
    <w:rsid w:val="00B13F66"/>
    <w:rsid w:val="00B1476C"/>
    <w:rsid w:val="00B1482E"/>
    <w:rsid w:val="00B14AA6"/>
    <w:rsid w:val="00B16086"/>
    <w:rsid w:val="00B16326"/>
    <w:rsid w:val="00B16760"/>
    <w:rsid w:val="00B20988"/>
    <w:rsid w:val="00B212DA"/>
    <w:rsid w:val="00B230DD"/>
    <w:rsid w:val="00B23802"/>
    <w:rsid w:val="00B24E69"/>
    <w:rsid w:val="00B252F8"/>
    <w:rsid w:val="00B25C25"/>
    <w:rsid w:val="00B267BE"/>
    <w:rsid w:val="00B26AEE"/>
    <w:rsid w:val="00B26EF9"/>
    <w:rsid w:val="00B30064"/>
    <w:rsid w:val="00B3039B"/>
    <w:rsid w:val="00B30A6C"/>
    <w:rsid w:val="00B31375"/>
    <w:rsid w:val="00B32D2A"/>
    <w:rsid w:val="00B333CE"/>
    <w:rsid w:val="00B339AB"/>
    <w:rsid w:val="00B33F0E"/>
    <w:rsid w:val="00B3414C"/>
    <w:rsid w:val="00B34716"/>
    <w:rsid w:val="00B34FE2"/>
    <w:rsid w:val="00B3549F"/>
    <w:rsid w:val="00B35623"/>
    <w:rsid w:val="00B35B27"/>
    <w:rsid w:val="00B35BC2"/>
    <w:rsid w:val="00B35E8E"/>
    <w:rsid w:val="00B37056"/>
    <w:rsid w:val="00B4013B"/>
    <w:rsid w:val="00B40449"/>
    <w:rsid w:val="00B40C46"/>
    <w:rsid w:val="00B40D28"/>
    <w:rsid w:val="00B41B54"/>
    <w:rsid w:val="00B42783"/>
    <w:rsid w:val="00B42F3D"/>
    <w:rsid w:val="00B433F8"/>
    <w:rsid w:val="00B43583"/>
    <w:rsid w:val="00B43DC9"/>
    <w:rsid w:val="00B44155"/>
    <w:rsid w:val="00B4430B"/>
    <w:rsid w:val="00B4448F"/>
    <w:rsid w:val="00B44B54"/>
    <w:rsid w:val="00B46B96"/>
    <w:rsid w:val="00B47101"/>
    <w:rsid w:val="00B47CA5"/>
    <w:rsid w:val="00B50CC7"/>
    <w:rsid w:val="00B51219"/>
    <w:rsid w:val="00B5139F"/>
    <w:rsid w:val="00B52711"/>
    <w:rsid w:val="00B53052"/>
    <w:rsid w:val="00B532EE"/>
    <w:rsid w:val="00B54888"/>
    <w:rsid w:val="00B54E85"/>
    <w:rsid w:val="00B55534"/>
    <w:rsid w:val="00B55799"/>
    <w:rsid w:val="00B55CF7"/>
    <w:rsid w:val="00B56856"/>
    <w:rsid w:val="00B5698D"/>
    <w:rsid w:val="00B57112"/>
    <w:rsid w:val="00B57673"/>
    <w:rsid w:val="00B57B40"/>
    <w:rsid w:val="00B6070B"/>
    <w:rsid w:val="00B607E1"/>
    <w:rsid w:val="00B61570"/>
    <w:rsid w:val="00B617DB"/>
    <w:rsid w:val="00B62006"/>
    <w:rsid w:val="00B638EE"/>
    <w:rsid w:val="00B63DDF"/>
    <w:rsid w:val="00B63ECF"/>
    <w:rsid w:val="00B643AB"/>
    <w:rsid w:val="00B6537C"/>
    <w:rsid w:val="00B67C17"/>
    <w:rsid w:val="00B67CBA"/>
    <w:rsid w:val="00B67E21"/>
    <w:rsid w:val="00B7009F"/>
    <w:rsid w:val="00B70D95"/>
    <w:rsid w:val="00B715D4"/>
    <w:rsid w:val="00B71D00"/>
    <w:rsid w:val="00B71DE3"/>
    <w:rsid w:val="00B71EBD"/>
    <w:rsid w:val="00B71F97"/>
    <w:rsid w:val="00B72709"/>
    <w:rsid w:val="00B736BE"/>
    <w:rsid w:val="00B7374C"/>
    <w:rsid w:val="00B744F2"/>
    <w:rsid w:val="00B75EB8"/>
    <w:rsid w:val="00B76895"/>
    <w:rsid w:val="00B76A76"/>
    <w:rsid w:val="00B76CDA"/>
    <w:rsid w:val="00B80104"/>
    <w:rsid w:val="00B80737"/>
    <w:rsid w:val="00B821E0"/>
    <w:rsid w:val="00B833F9"/>
    <w:rsid w:val="00B84235"/>
    <w:rsid w:val="00B846AB"/>
    <w:rsid w:val="00B84CA5"/>
    <w:rsid w:val="00B855C0"/>
    <w:rsid w:val="00B86711"/>
    <w:rsid w:val="00B86D95"/>
    <w:rsid w:val="00B87786"/>
    <w:rsid w:val="00B87998"/>
    <w:rsid w:val="00B922AC"/>
    <w:rsid w:val="00B94720"/>
    <w:rsid w:val="00B94A28"/>
    <w:rsid w:val="00B95CD5"/>
    <w:rsid w:val="00B96DDF"/>
    <w:rsid w:val="00B9778E"/>
    <w:rsid w:val="00B97CEE"/>
    <w:rsid w:val="00BA19EA"/>
    <w:rsid w:val="00BA1D69"/>
    <w:rsid w:val="00BA234A"/>
    <w:rsid w:val="00BA28C9"/>
    <w:rsid w:val="00BA2B5F"/>
    <w:rsid w:val="00BA2D21"/>
    <w:rsid w:val="00BA2F0D"/>
    <w:rsid w:val="00BA3950"/>
    <w:rsid w:val="00BA3E55"/>
    <w:rsid w:val="00BA4B00"/>
    <w:rsid w:val="00BA54F9"/>
    <w:rsid w:val="00BA5EF6"/>
    <w:rsid w:val="00BA6449"/>
    <w:rsid w:val="00BA6B5A"/>
    <w:rsid w:val="00BA71B4"/>
    <w:rsid w:val="00BA7A70"/>
    <w:rsid w:val="00BB01CB"/>
    <w:rsid w:val="00BB06D6"/>
    <w:rsid w:val="00BB102E"/>
    <w:rsid w:val="00BB13D9"/>
    <w:rsid w:val="00BB1DCE"/>
    <w:rsid w:val="00BB2F6A"/>
    <w:rsid w:val="00BB4444"/>
    <w:rsid w:val="00BB46C3"/>
    <w:rsid w:val="00BB4A74"/>
    <w:rsid w:val="00BB4E24"/>
    <w:rsid w:val="00BB5CB4"/>
    <w:rsid w:val="00BB67AB"/>
    <w:rsid w:val="00BB6C0C"/>
    <w:rsid w:val="00BB77C5"/>
    <w:rsid w:val="00BB7A39"/>
    <w:rsid w:val="00BB7C1C"/>
    <w:rsid w:val="00BB7D12"/>
    <w:rsid w:val="00BC02D5"/>
    <w:rsid w:val="00BC0F77"/>
    <w:rsid w:val="00BC12DE"/>
    <w:rsid w:val="00BC1638"/>
    <w:rsid w:val="00BC1B75"/>
    <w:rsid w:val="00BC1D77"/>
    <w:rsid w:val="00BC1E56"/>
    <w:rsid w:val="00BC2E12"/>
    <w:rsid w:val="00BC321E"/>
    <w:rsid w:val="00BC37BF"/>
    <w:rsid w:val="00BC3B27"/>
    <w:rsid w:val="00BC3F8F"/>
    <w:rsid w:val="00BC50A6"/>
    <w:rsid w:val="00BC6DBF"/>
    <w:rsid w:val="00BC7868"/>
    <w:rsid w:val="00BC7958"/>
    <w:rsid w:val="00BD0AA1"/>
    <w:rsid w:val="00BD1F52"/>
    <w:rsid w:val="00BD2638"/>
    <w:rsid w:val="00BD26D4"/>
    <w:rsid w:val="00BD3BD6"/>
    <w:rsid w:val="00BD405A"/>
    <w:rsid w:val="00BD4292"/>
    <w:rsid w:val="00BD4840"/>
    <w:rsid w:val="00BD4D4B"/>
    <w:rsid w:val="00BD60E8"/>
    <w:rsid w:val="00BD62F4"/>
    <w:rsid w:val="00BD6976"/>
    <w:rsid w:val="00BD6D0E"/>
    <w:rsid w:val="00BD6DE0"/>
    <w:rsid w:val="00BD75FC"/>
    <w:rsid w:val="00BD7BC0"/>
    <w:rsid w:val="00BE10D2"/>
    <w:rsid w:val="00BE14B4"/>
    <w:rsid w:val="00BE2F3A"/>
    <w:rsid w:val="00BE313C"/>
    <w:rsid w:val="00BE49C2"/>
    <w:rsid w:val="00BE513D"/>
    <w:rsid w:val="00BE5530"/>
    <w:rsid w:val="00BE58C2"/>
    <w:rsid w:val="00BE5B48"/>
    <w:rsid w:val="00BE5ECB"/>
    <w:rsid w:val="00BE6689"/>
    <w:rsid w:val="00BE7B5A"/>
    <w:rsid w:val="00BF0153"/>
    <w:rsid w:val="00BF025A"/>
    <w:rsid w:val="00BF0C9E"/>
    <w:rsid w:val="00BF14D4"/>
    <w:rsid w:val="00BF15EE"/>
    <w:rsid w:val="00BF22AE"/>
    <w:rsid w:val="00BF23E3"/>
    <w:rsid w:val="00BF34CC"/>
    <w:rsid w:val="00BF390E"/>
    <w:rsid w:val="00BF60C7"/>
    <w:rsid w:val="00BF60FA"/>
    <w:rsid w:val="00BF6BA8"/>
    <w:rsid w:val="00BF6FDD"/>
    <w:rsid w:val="00BF79BC"/>
    <w:rsid w:val="00BF7A3B"/>
    <w:rsid w:val="00C0090F"/>
    <w:rsid w:val="00C0293F"/>
    <w:rsid w:val="00C035E8"/>
    <w:rsid w:val="00C04113"/>
    <w:rsid w:val="00C04781"/>
    <w:rsid w:val="00C04A46"/>
    <w:rsid w:val="00C0524E"/>
    <w:rsid w:val="00C06213"/>
    <w:rsid w:val="00C06B20"/>
    <w:rsid w:val="00C10929"/>
    <w:rsid w:val="00C10DC7"/>
    <w:rsid w:val="00C11680"/>
    <w:rsid w:val="00C11C6F"/>
    <w:rsid w:val="00C11DFE"/>
    <w:rsid w:val="00C1273A"/>
    <w:rsid w:val="00C12773"/>
    <w:rsid w:val="00C128D6"/>
    <w:rsid w:val="00C15A4C"/>
    <w:rsid w:val="00C15C7C"/>
    <w:rsid w:val="00C15E9B"/>
    <w:rsid w:val="00C160E3"/>
    <w:rsid w:val="00C1636E"/>
    <w:rsid w:val="00C16828"/>
    <w:rsid w:val="00C169B6"/>
    <w:rsid w:val="00C1751C"/>
    <w:rsid w:val="00C179A1"/>
    <w:rsid w:val="00C20A4D"/>
    <w:rsid w:val="00C21F1B"/>
    <w:rsid w:val="00C2289D"/>
    <w:rsid w:val="00C22ACC"/>
    <w:rsid w:val="00C23510"/>
    <w:rsid w:val="00C23854"/>
    <w:rsid w:val="00C23F96"/>
    <w:rsid w:val="00C24A2A"/>
    <w:rsid w:val="00C24AAC"/>
    <w:rsid w:val="00C24BA4"/>
    <w:rsid w:val="00C24E35"/>
    <w:rsid w:val="00C2547A"/>
    <w:rsid w:val="00C25C58"/>
    <w:rsid w:val="00C2666B"/>
    <w:rsid w:val="00C274A8"/>
    <w:rsid w:val="00C277C9"/>
    <w:rsid w:val="00C27909"/>
    <w:rsid w:val="00C301B0"/>
    <w:rsid w:val="00C312DC"/>
    <w:rsid w:val="00C32834"/>
    <w:rsid w:val="00C32D26"/>
    <w:rsid w:val="00C32F1F"/>
    <w:rsid w:val="00C33E3B"/>
    <w:rsid w:val="00C349D5"/>
    <w:rsid w:val="00C35C2E"/>
    <w:rsid w:val="00C35F17"/>
    <w:rsid w:val="00C3669D"/>
    <w:rsid w:val="00C36FBC"/>
    <w:rsid w:val="00C3771A"/>
    <w:rsid w:val="00C4026F"/>
    <w:rsid w:val="00C4030A"/>
    <w:rsid w:val="00C405D5"/>
    <w:rsid w:val="00C40CBC"/>
    <w:rsid w:val="00C40E6F"/>
    <w:rsid w:val="00C41961"/>
    <w:rsid w:val="00C420EE"/>
    <w:rsid w:val="00C4266A"/>
    <w:rsid w:val="00C44648"/>
    <w:rsid w:val="00C4488F"/>
    <w:rsid w:val="00C44A86"/>
    <w:rsid w:val="00C44AE1"/>
    <w:rsid w:val="00C44B4B"/>
    <w:rsid w:val="00C452A6"/>
    <w:rsid w:val="00C45A7B"/>
    <w:rsid w:val="00C46106"/>
    <w:rsid w:val="00C47E68"/>
    <w:rsid w:val="00C5048B"/>
    <w:rsid w:val="00C506D4"/>
    <w:rsid w:val="00C507C6"/>
    <w:rsid w:val="00C527DC"/>
    <w:rsid w:val="00C53BAB"/>
    <w:rsid w:val="00C53BC5"/>
    <w:rsid w:val="00C53BE2"/>
    <w:rsid w:val="00C54726"/>
    <w:rsid w:val="00C549F4"/>
    <w:rsid w:val="00C55DBC"/>
    <w:rsid w:val="00C56BFB"/>
    <w:rsid w:val="00C57954"/>
    <w:rsid w:val="00C579F2"/>
    <w:rsid w:val="00C605C7"/>
    <w:rsid w:val="00C608CF"/>
    <w:rsid w:val="00C6107C"/>
    <w:rsid w:val="00C62BB3"/>
    <w:rsid w:val="00C637F3"/>
    <w:rsid w:val="00C63AAB"/>
    <w:rsid w:val="00C63FAB"/>
    <w:rsid w:val="00C66055"/>
    <w:rsid w:val="00C6651F"/>
    <w:rsid w:val="00C66534"/>
    <w:rsid w:val="00C700A1"/>
    <w:rsid w:val="00C70468"/>
    <w:rsid w:val="00C70B0C"/>
    <w:rsid w:val="00C70D99"/>
    <w:rsid w:val="00C716CF"/>
    <w:rsid w:val="00C71F71"/>
    <w:rsid w:val="00C725AF"/>
    <w:rsid w:val="00C72773"/>
    <w:rsid w:val="00C72EB2"/>
    <w:rsid w:val="00C750E0"/>
    <w:rsid w:val="00C80078"/>
    <w:rsid w:val="00C80794"/>
    <w:rsid w:val="00C81063"/>
    <w:rsid w:val="00C818A1"/>
    <w:rsid w:val="00C824B5"/>
    <w:rsid w:val="00C83064"/>
    <w:rsid w:val="00C84284"/>
    <w:rsid w:val="00C847E0"/>
    <w:rsid w:val="00C84FF1"/>
    <w:rsid w:val="00C8689B"/>
    <w:rsid w:val="00C86BFD"/>
    <w:rsid w:val="00C87666"/>
    <w:rsid w:val="00C879F3"/>
    <w:rsid w:val="00C87BA9"/>
    <w:rsid w:val="00C90EA3"/>
    <w:rsid w:val="00C92510"/>
    <w:rsid w:val="00C92566"/>
    <w:rsid w:val="00C93273"/>
    <w:rsid w:val="00C93771"/>
    <w:rsid w:val="00C94F3E"/>
    <w:rsid w:val="00C954CD"/>
    <w:rsid w:val="00C957BD"/>
    <w:rsid w:val="00C9753D"/>
    <w:rsid w:val="00C97599"/>
    <w:rsid w:val="00C97691"/>
    <w:rsid w:val="00C97764"/>
    <w:rsid w:val="00C97FC6"/>
    <w:rsid w:val="00CA0033"/>
    <w:rsid w:val="00CA11CE"/>
    <w:rsid w:val="00CA1DDC"/>
    <w:rsid w:val="00CA265B"/>
    <w:rsid w:val="00CA2735"/>
    <w:rsid w:val="00CA35D9"/>
    <w:rsid w:val="00CA41E9"/>
    <w:rsid w:val="00CA4F01"/>
    <w:rsid w:val="00CA513F"/>
    <w:rsid w:val="00CA52CA"/>
    <w:rsid w:val="00CA5645"/>
    <w:rsid w:val="00CA5F85"/>
    <w:rsid w:val="00CA6631"/>
    <w:rsid w:val="00CA6C28"/>
    <w:rsid w:val="00CA745F"/>
    <w:rsid w:val="00CA7B8C"/>
    <w:rsid w:val="00CB1DB3"/>
    <w:rsid w:val="00CB265A"/>
    <w:rsid w:val="00CB29D4"/>
    <w:rsid w:val="00CB2E3C"/>
    <w:rsid w:val="00CB306D"/>
    <w:rsid w:val="00CB30D2"/>
    <w:rsid w:val="00CB4643"/>
    <w:rsid w:val="00CB4733"/>
    <w:rsid w:val="00CB4772"/>
    <w:rsid w:val="00CB4AFC"/>
    <w:rsid w:val="00CB5466"/>
    <w:rsid w:val="00CC08BE"/>
    <w:rsid w:val="00CC0EC4"/>
    <w:rsid w:val="00CC16C8"/>
    <w:rsid w:val="00CC3EB6"/>
    <w:rsid w:val="00CC41B3"/>
    <w:rsid w:val="00CC5E0A"/>
    <w:rsid w:val="00CC6983"/>
    <w:rsid w:val="00CC7FDD"/>
    <w:rsid w:val="00CD0304"/>
    <w:rsid w:val="00CD1BFB"/>
    <w:rsid w:val="00CD20BD"/>
    <w:rsid w:val="00CD2728"/>
    <w:rsid w:val="00CD3909"/>
    <w:rsid w:val="00CD4E22"/>
    <w:rsid w:val="00CD5326"/>
    <w:rsid w:val="00CD57EF"/>
    <w:rsid w:val="00CD62A9"/>
    <w:rsid w:val="00CD6349"/>
    <w:rsid w:val="00CD69A9"/>
    <w:rsid w:val="00CD6B10"/>
    <w:rsid w:val="00CD722A"/>
    <w:rsid w:val="00CD7A88"/>
    <w:rsid w:val="00CE0065"/>
    <w:rsid w:val="00CE0AAC"/>
    <w:rsid w:val="00CE0F7F"/>
    <w:rsid w:val="00CE4B00"/>
    <w:rsid w:val="00CE5121"/>
    <w:rsid w:val="00CE5EF9"/>
    <w:rsid w:val="00CE5F42"/>
    <w:rsid w:val="00CE7784"/>
    <w:rsid w:val="00CE79AB"/>
    <w:rsid w:val="00CF2896"/>
    <w:rsid w:val="00CF2C10"/>
    <w:rsid w:val="00CF2C44"/>
    <w:rsid w:val="00CF3094"/>
    <w:rsid w:val="00CF3A74"/>
    <w:rsid w:val="00CF41A5"/>
    <w:rsid w:val="00CF6878"/>
    <w:rsid w:val="00CF6D81"/>
    <w:rsid w:val="00CF734E"/>
    <w:rsid w:val="00CF7766"/>
    <w:rsid w:val="00D001FC"/>
    <w:rsid w:val="00D00BF8"/>
    <w:rsid w:val="00D021F2"/>
    <w:rsid w:val="00D02D6A"/>
    <w:rsid w:val="00D033A9"/>
    <w:rsid w:val="00D03559"/>
    <w:rsid w:val="00D05D3E"/>
    <w:rsid w:val="00D06D29"/>
    <w:rsid w:val="00D101A9"/>
    <w:rsid w:val="00D10FD2"/>
    <w:rsid w:val="00D12D4A"/>
    <w:rsid w:val="00D145ED"/>
    <w:rsid w:val="00D14705"/>
    <w:rsid w:val="00D15627"/>
    <w:rsid w:val="00D176C3"/>
    <w:rsid w:val="00D17F55"/>
    <w:rsid w:val="00D2116E"/>
    <w:rsid w:val="00D22074"/>
    <w:rsid w:val="00D22568"/>
    <w:rsid w:val="00D22709"/>
    <w:rsid w:val="00D23CA5"/>
    <w:rsid w:val="00D2487F"/>
    <w:rsid w:val="00D2513F"/>
    <w:rsid w:val="00D25F14"/>
    <w:rsid w:val="00D261C5"/>
    <w:rsid w:val="00D27E69"/>
    <w:rsid w:val="00D30B65"/>
    <w:rsid w:val="00D31464"/>
    <w:rsid w:val="00D31FDC"/>
    <w:rsid w:val="00D32A42"/>
    <w:rsid w:val="00D32EFA"/>
    <w:rsid w:val="00D340A1"/>
    <w:rsid w:val="00D344ED"/>
    <w:rsid w:val="00D36AEB"/>
    <w:rsid w:val="00D37AB3"/>
    <w:rsid w:val="00D40A77"/>
    <w:rsid w:val="00D414E3"/>
    <w:rsid w:val="00D42E13"/>
    <w:rsid w:val="00D44268"/>
    <w:rsid w:val="00D4452C"/>
    <w:rsid w:val="00D448DC"/>
    <w:rsid w:val="00D453FF"/>
    <w:rsid w:val="00D455AC"/>
    <w:rsid w:val="00D46E23"/>
    <w:rsid w:val="00D47D69"/>
    <w:rsid w:val="00D50E19"/>
    <w:rsid w:val="00D51855"/>
    <w:rsid w:val="00D52C8C"/>
    <w:rsid w:val="00D5404C"/>
    <w:rsid w:val="00D545A0"/>
    <w:rsid w:val="00D55127"/>
    <w:rsid w:val="00D5652A"/>
    <w:rsid w:val="00D56B50"/>
    <w:rsid w:val="00D578C9"/>
    <w:rsid w:val="00D6054F"/>
    <w:rsid w:val="00D60A5C"/>
    <w:rsid w:val="00D617B1"/>
    <w:rsid w:val="00D61E8D"/>
    <w:rsid w:val="00D62BEE"/>
    <w:rsid w:val="00D62F9D"/>
    <w:rsid w:val="00D63783"/>
    <w:rsid w:val="00D640D5"/>
    <w:rsid w:val="00D65600"/>
    <w:rsid w:val="00D65CCE"/>
    <w:rsid w:val="00D66E1B"/>
    <w:rsid w:val="00D67113"/>
    <w:rsid w:val="00D67519"/>
    <w:rsid w:val="00D679F6"/>
    <w:rsid w:val="00D67AB0"/>
    <w:rsid w:val="00D67CE1"/>
    <w:rsid w:val="00D7033A"/>
    <w:rsid w:val="00D70818"/>
    <w:rsid w:val="00D70A28"/>
    <w:rsid w:val="00D710C2"/>
    <w:rsid w:val="00D71606"/>
    <w:rsid w:val="00D719C8"/>
    <w:rsid w:val="00D71B52"/>
    <w:rsid w:val="00D721A3"/>
    <w:rsid w:val="00D72AD0"/>
    <w:rsid w:val="00D736F6"/>
    <w:rsid w:val="00D75537"/>
    <w:rsid w:val="00D75716"/>
    <w:rsid w:val="00D76296"/>
    <w:rsid w:val="00D76654"/>
    <w:rsid w:val="00D76754"/>
    <w:rsid w:val="00D76F67"/>
    <w:rsid w:val="00D77533"/>
    <w:rsid w:val="00D775CA"/>
    <w:rsid w:val="00D777D0"/>
    <w:rsid w:val="00D77B11"/>
    <w:rsid w:val="00D77C9E"/>
    <w:rsid w:val="00D80456"/>
    <w:rsid w:val="00D820DA"/>
    <w:rsid w:val="00D820F4"/>
    <w:rsid w:val="00D8270E"/>
    <w:rsid w:val="00D82DF9"/>
    <w:rsid w:val="00D83F7D"/>
    <w:rsid w:val="00D84805"/>
    <w:rsid w:val="00D85291"/>
    <w:rsid w:val="00D852DB"/>
    <w:rsid w:val="00D85713"/>
    <w:rsid w:val="00D862CB"/>
    <w:rsid w:val="00D862D7"/>
    <w:rsid w:val="00D8675B"/>
    <w:rsid w:val="00D86B6D"/>
    <w:rsid w:val="00D86BD8"/>
    <w:rsid w:val="00D9040C"/>
    <w:rsid w:val="00D908D4"/>
    <w:rsid w:val="00D91218"/>
    <w:rsid w:val="00D912E8"/>
    <w:rsid w:val="00D91F5C"/>
    <w:rsid w:val="00D91F63"/>
    <w:rsid w:val="00D92776"/>
    <w:rsid w:val="00D929E6"/>
    <w:rsid w:val="00D92CB9"/>
    <w:rsid w:val="00D93022"/>
    <w:rsid w:val="00D93F4F"/>
    <w:rsid w:val="00D94A33"/>
    <w:rsid w:val="00D952DB"/>
    <w:rsid w:val="00D95535"/>
    <w:rsid w:val="00D957F8"/>
    <w:rsid w:val="00D97684"/>
    <w:rsid w:val="00D97A99"/>
    <w:rsid w:val="00DA026A"/>
    <w:rsid w:val="00DA277A"/>
    <w:rsid w:val="00DA2CF4"/>
    <w:rsid w:val="00DA3279"/>
    <w:rsid w:val="00DA3C1C"/>
    <w:rsid w:val="00DA4DAB"/>
    <w:rsid w:val="00DA4DD9"/>
    <w:rsid w:val="00DA54CA"/>
    <w:rsid w:val="00DA55EA"/>
    <w:rsid w:val="00DA5714"/>
    <w:rsid w:val="00DA590D"/>
    <w:rsid w:val="00DA71E5"/>
    <w:rsid w:val="00DB140C"/>
    <w:rsid w:val="00DB1429"/>
    <w:rsid w:val="00DB15D4"/>
    <w:rsid w:val="00DB173F"/>
    <w:rsid w:val="00DB2010"/>
    <w:rsid w:val="00DB263D"/>
    <w:rsid w:val="00DB284A"/>
    <w:rsid w:val="00DB53EA"/>
    <w:rsid w:val="00DB64C4"/>
    <w:rsid w:val="00DB64F7"/>
    <w:rsid w:val="00DB7430"/>
    <w:rsid w:val="00DC0199"/>
    <w:rsid w:val="00DC01FA"/>
    <w:rsid w:val="00DC07D9"/>
    <w:rsid w:val="00DC0CB0"/>
    <w:rsid w:val="00DC0F67"/>
    <w:rsid w:val="00DC16A5"/>
    <w:rsid w:val="00DC29EF"/>
    <w:rsid w:val="00DC4E27"/>
    <w:rsid w:val="00DC5EED"/>
    <w:rsid w:val="00DC72BC"/>
    <w:rsid w:val="00DD1291"/>
    <w:rsid w:val="00DD2409"/>
    <w:rsid w:val="00DD39F3"/>
    <w:rsid w:val="00DD3C5F"/>
    <w:rsid w:val="00DD4718"/>
    <w:rsid w:val="00DD5599"/>
    <w:rsid w:val="00DD791D"/>
    <w:rsid w:val="00DE0DEE"/>
    <w:rsid w:val="00DE1D04"/>
    <w:rsid w:val="00DE2E78"/>
    <w:rsid w:val="00DE3228"/>
    <w:rsid w:val="00DE3314"/>
    <w:rsid w:val="00DE38C7"/>
    <w:rsid w:val="00DE479A"/>
    <w:rsid w:val="00DE47DC"/>
    <w:rsid w:val="00DE5C73"/>
    <w:rsid w:val="00DE5D3A"/>
    <w:rsid w:val="00DE5D77"/>
    <w:rsid w:val="00DE5EDE"/>
    <w:rsid w:val="00DE620F"/>
    <w:rsid w:val="00DF07B9"/>
    <w:rsid w:val="00DF0EFF"/>
    <w:rsid w:val="00DF1938"/>
    <w:rsid w:val="00DF2403"/>
    <w:rsid w:val="00DF285A"/>
    <w:rsid w:val="00DF2910"/>
    <w:rsid w:val="00DF2EB1"/>
    <w:rsid w:val="00DF354F"/>
    <w:rsid w:val="00DF3788"/>
    <w:rsid w:val="00DF485F"/>
    <w:rsid w:val="00DF4BFF"/>
    <w:rsid w:val="00DF6D87"/>
    <w:rsid w:val="00E005AA"/>
    <w:rsid w:val="00E008D0"/>
    <w:rsid w:val="00E00997"/>
    <w:rsid w:val="00E00B92"/>
    <w:rsid w:val="00E0122A"/>
    <w:rsid w:val="00E01396"/>
    <w:rsid w:val="00E02A55"/>
    <w:rsid w:val="00E03841"/>
    <w:rsid w:val="00E038AB"/>
    <w:rsid w:val="00E0447C"/>
    <w:rsid w:val="00E059C3"/>
    <w:rsid w:val="00E0651A"/>
    <w:rsid w:val="00E075AD"/>
    <w:rsid w:val="00E077B0"/>
    <w:rsid w:val="00E1175D"/>
    <w:rsid w:val="00E12673"/>
    <w:rsid w:val="00E137FF"/>
    <w:rsid w:val="00E152F0"/>
    <w:rsid w:val="00E15467"/>
    <w:rsid w:val="00E15A13"/>
    <w:rsid w:val="00E15E1A"/>
    <w:rsid w:val="00E1703F"/>
    <w:rsid w:val="00E175F3"/>
    <w:rsid w:val="00E209E9"/>
    <w:rsid w:val="00E20D95"/>
    <w:rsid w:val="00E22384"/>
    <w:rsid w:val="00E22672"/>
    <w:rsid w:val="00E23243"/>
    <w:rsid w:val="00E233C0"/>
    <w:rsid w:val="00E2458A"/>
    <w:rsid w:val="00E25281"/>
    <w:rsid w:val="00E25A09"/>
    <w:rsid w:val="00E26D66"/>
    <w:rsid w:val="00E2776D"/>
    <w:rsid w:val="00E27787"/>
    <w:rsid w:val="00E30915"/>
    <w:rsid w:val="00E30B13"/>
    <w:rsid w:val="00E31293"/>
    <w:rsid w:val="00E32665"/>
    <w:rsid w:val="00E32C86"/>
    <w:rsid w:val="00E34AA3"/>
    <w:rsid w:val="00E3620C"/>
    <w:rsid w:val="00E36514"/>
    <w:rsid w:val="00E40C29"/>
    <w:rsid w:val="00E4147B"/>
    <w:rsid w:val="00E4280B"/>
    <w:rsid w:val="00E43A84"/>
    <w:rsid w:val="00E43AB8"/>
    <w:rsid w:val="00E43ECC"/>
    <w:rsid w:val="00E44C02"/>
    <w:rsid w:val="00E45216"/>
    <w:rsid w:val="00E4574A"/>
    <w:rsid w:val="00E45EEC"/>
    <w:rsid w:val="00E46AD4"/>
    <w:rsid w:val="00E47914"/>
    <w:rsid w:val="00E5142F"/>
    <w:rsid w:val="00E51632"/>
    <w:rsid w:val="00E51682"/>
    <w:rsid w:val="00E5237F"/>
    <w:rsid w:val="00E52387"/>
    <w:rsid w:val="00E52FAB"/>
    <w:rsid w:val="00E5381C"/>
    <w:rsid w:val="00E53D02"/>
    <w:rsid w:val="00E53DC3"/>
    <w:rsid w:val="00E54723"/>
    <w:rsid w:val="00E54728"/>
    <w:rsid w:val="00E549DB"/>
    <w:rsid w:val="00E56653"/>
    <w:rsid w:val="00E56B20"/>
    <w:rsid w:val="00E56FB8"/>
    <w:rsid w:val="00E57C85"/>
    <w:rsid w:val="00E57CF4"/>
    <w:rsid w:val="00E600CA"/>
    <w:rsid w:val="00E608DD"/>
    <w:rsid w:val="00E60DB6"/>
    <w:rsid w:val="00E61AFC"/>
    <w:rsid w:val="00E623CF"/>
    <w:rsid w:val="00E64675"/>
    <w:rsid w:val="00E64CFB"/>
    <w:rsid w:val="00E65C2E"/>
    <w:rsid w:val="00E66A62"/>
    <w:rsid w:val="00E676C6"/>
    <w:rsid w:val="00E67DF8"/>
    <w:rsid w:val="00E707C9"/>
    <w:rsid w:val="00E71D5D"/>
    <w:rsid w:val="00E71E17"/>
    <w:rsid w:val="00E72D98"/>
    <w:rsid w:val="00E7399C"/>
    <w:rsid w:val="00E73D1A"/>
    <w:rsid w:val="00E73EF6"/>
    <w:rsid w:val="00E73F53"/>
    <w:rsid w:val="00E7458C"/>
    <w:rsid w:val="00E74927"/>
    <w:rsid w:val="00E74EB8"/>
    <w:rsid w:val="00E74ECB"/>
    <w:rsid w:val="00E754B5"/>
    <w:rsid w:val="00E76734"/>
    <w:rsid w:val="00E76837"/>
    <w:rsid w:val="00E77999"/>
    <w:rsid w:val="00E77A2C"/>
    <w:rsid w:val="00E77BE0"/>
    <w:rsid w:val="00E77E5C"/>
    <w:rsid w:val="00E77EB6"/>
    <w:rsid w:val="00E8269C"/>
    <w:rsid w:val="00E831A3"/>
    <w:rsid w:val="00E831BA"/>
    <w:rsid w:val="00E831C4"/>
    <w:rsid w:val="00E83855"/>
    <w:rsid w:val="00E83B17"/>
    <w:rsid w:val="00E84C02"/>
    <w:rsid w:val="00E8515D"/>
    <w:rsid w:val="00E853E6"/>
    <w:rsid w:val="00E86090"/>
    <w:rsid w:val="00E8688F"/>
    <w:rsid w:val="00E86AD6"/>
    <w:rsid w:val="00E87576"/>
    <w:rsid w:val="00E87A56"/>
    <w:rsid w:val="00E92DF2"/>
    <w:rsid w:val="00E9361C"/>
    <w:rsid w:val="00E93BF9"/>
    <w:rsid w:val="00E943A7"/>
    <w:rsid w:val="00E944D3"/>
    <w:rsid w:val="00E94C17"/>
    <w:rsid w:val="00E97145"/>
    <w:rsid w:val="00EA0923"/>
    <w:rsid w:val="00EA0B2F"/>
    <w:rsid w:val="00EA1378"/>
    <w:rsid w:val="00EA2525"/>
    <w:rsid w:val="00EA252B"/>
    <w:rsid w:val="00EA2984"/>
    <w:rsid w:val="00EA2F97"/>
    <w:rsid w:val="00EA346E"/>
    <w:rsid w:val="00EA3A3D"/>
    <w:rsid w:val="00EA44AB"/>
    <w:rsid w:val="00EA5998"/>
    <w:rsid w:val="00EA5D0C"/>
    <w:rsid w:val="00EA769C"/>
    <w:rsid w:val="00EA7823"/>
    <w:rsid w:val="00EA7A26"/>
    <w:rsid w:val="00EA7FD0"/>
    <w:rsid w:val="00EB0222"/>
    <w:rsid w:val="00EB0477"/>
    <w:rsid w:val="00EB1A48"/>
    <w:rsid w:val="00EB2A59"/>
    <w:rsid w:val="00EB2CE3"/>
    <w:rsid w:val="00EB4AA1"/>
    <w:rsid w:val="00EB4FC3"/>
    <w:rsid w:val="00EB5AAD"/>
    <w:rsid w:val="00EB5B67"/>
    <w:rsid w:val="00EB7658"/>
    <w:rsid w:val="00EC00DE"/>
    <w:rsid w:val="00EC06A0"/>
    <w:rsid w:val="00EC2EC1"/>
    <w:rsid w:val="00EC30ED"/>
    <w:rsid w:val="00EC3147"/>
    <w:rsid w:val="00EC3BD8"/>
    <w:rsid w:val="00EC44C3"/>
    <w:rsid w:val="00EC4DB7"/>
    <w:rsid w:val="00EC5AE2"/>
    <w:rsid w:val="00EC5B35"/>
    <w:rsid w:val="00EC6022"/>
    <w:rsid w:val="00EC6FF1"/>
    <w:rsid w:val="00EC727C"/>
    <w:rsid w:val="00EC75AE"/>
    <w:rsid w:val="00EC7F08"/>
    <w:rsid w:val="00ED1755"/>
    <w:rsid w:val="00ED1783"/>
    <w:rsid w:val="00ED3326"/>
    <w:rsid w:val="00ED401C"/>
    <w:rsid w:val="00ED40C6"/>
    <w:rsid w:val="00ED440F"/>
    <w:rsid w:val="00ED465E"/>
    <w:rsid w:val="00ED52DD"/>
    <w:rsid w:val="00ED53E5"/>
    <w:rsid w:val="00ED5AA4"/>
    <w:rsid w:val="00ED6E49"/>
    <w:rsid w:val="00EE0819"/>
    <w:rsid w:val="00EE0831"/>
    <w:rsid w:val="00EE1650"/>
    <w:rsid w:val="00EE1A7D"/>
    <w:rsid w:val="00EE3757"/>
    <w:rsid w:val="00EE3A89"/>
    <w:rsid w:val="00EE4351"/>
    <w:rsid w:val="00EE450B"/>
    <w:rsid w:val="00EE4DB5"/>
    <w:rsid w:val="00EE5008"/>
    <w:rsid w:val="00EE5FB3"/>
    <w:rsid w:val="00EE67DA"/>
    <w:rsid w:val="00EE6C04"/>
    <w:rsid w:val="00EE6F62"/>
    <w:rsid w:val="00EE744D"/>
    <w:rsid w:val="00EF0855"/>
    <w:rsid w:val="00EF0A57"/>
    <w:rsid w:val="00EF1771"/>
    <w:rsid w:val="00EF19D0"/>
    <w:rsid w:val="00EF2115"/>
    <w:rsid w:val="00EF2197"/>
    <w:rsid w:val="00EF26C3"/>
    <w:rsid w:val="00EF2C40"/>
    <w:rsid w:val="00EF3C16"/>
    <w:rsid w:val="00EF4F3E"/>
    <w:rsid w:val="00EF4FAE"/>
    <w:rsid w:val="00EF5A02"/>
    <w:rsid w:val="00EF5DC6"/>
    <w:rsid w:val="00EF6E65"/>
    <w:rsid w:val="00EF706C"/>
    <w:rsid w:val="00EF7C05"/>
    <w:rsid w:val="00F00945"/>
    <w:rsid w:val="00F0154A"/>
    <w:rsid w:val="00F024D4"/>
    <w:rsid w:val="00F037F9"/>
    <w:rsid w:val="00F044EF"/>
    <w:rsid w:val="00F04DA9"/>
    <w:rsid w:val="00F04EC3"/>
    <w:rsid w:val="00F0528A"/>
    <w:rsid w:val="00F05299"/>
    <w:rsid w:val="00F05D97"/>
    <w:rsid w:val="00F06568"/>
    <w:rsid w:val="00F07072"/>
    <w:rsid w:val="00F07314"/>
    <w:rsid w:val="00F07CA9"/>
    <w:rsid w:val="00F1195D"/>
    <w:rsid w:val="00F11A29"/>
    <w:rsid w:val="00F11CEB"/>
    <w:rsid w:val="00F12F17"/>
    <w:rsid w:val="00F13528"/>
    <w:rsid w:val="00F135B1"/>
    <w:rsid w:val="00F13D09"/>
    <w:rsid w:val="00F15407"/>
    <w:rsid w:val="00F1620C"/>
    <w:rsid w:val="00F17A3E"/>
    <w:rsid w:val="00F17DB0"/>
    <w:rsid w:val="00F20918"/>
    <w:rsid w:val="00F209F0"/>
    <w:rsid w:val="00F21C45"/>
    <w:rsid w:val="00F2215A"/>
    <w:rsid w:val="00F2263F"/>
    <w:rsid w:val="00F23709"/>
    <w:rsid w:val="00F23973"/>
    <w:rsid w:val="00F26821"/>
    <w:rsid w:val="00F274E6"/>
    <w:rsid w:val="00F27A8F"/>
    <w:rsid w:val="00F30357"/>
    <w:rsid w:val="00F30AC6"/>
    <w:rsid w:val="00F319BA"/>
    <w:rsid w:val="00F32776"/>
    <w:rsid w:val="00F34442"/>
    <w:rsid w:val="00F348B2"/>
    <w:rsid w:val="00F34A9B"/>
    <w:rsid w:val="00F34C66"/>
    <w:rsid w:val="00F355D7"/>
    <w:rsid w:val="00F35616"/>
    <w:rsid w:val="00F35F62"/>
    <w:rsid w:val="00F376C5"/>
    <w:rsid w:val="00F37A48"/>
    <w:rsid w:val="00F37C22"/>
    <w:rsid w:val="00F401C1"/>
    <w:rsid w:val="00F4025B"/>
    <w:rsid w:val="00F40370"/>
    <w:rsid w:val="00F40A07"/>
    <w:rsid w:val="00F41957"/>
    <w:rsid w:val="00F42923"/>
    <w:rsid w:val="00F42DBB"/>
    <w:rsid w:val="00F430D9"/>
    <w:rsid w:val="00F4423A"/>
    <w:rsid w:val="00F449C1"/>
    <w:rsid w:val="00F449DC"/>
    <w:rsid w:val="00F44B9C"/>
    <w:rsid w:val="00F45DD5"/>
    <w:rsid w:val="00F469A0"/>
    <w:rsid w:val="00F478AD"/>
    <w:rsid w:val="00F50BCE"/>
    <w:rsid w:val="00F511CA"/>
    <w:rsid w:val="00F51CBF"/>
    <w:rsid w:val="00F51D4C"/>
    <w:rsid w:val="00F52638"/>
    <w:rsid w:val="00F53AB6"/>
    <w:rsid w:val="00F53CD2"/>
    <w:rsid w:val="00F55021"/>
    <w:rsid w:val="00F5601F"/>
    <w:rsid w:val="00F5754C"/>
    <w:rsid w:val="00F607CF"/>
    <w:rsid w:val="00F60AA0"/>
    <w:rsid w:val="00F60CC4"/>
    <w:rsid w:val="00F62559"/>
    <w:rsid w:val="00F6260F"/>
    <w:rsid w:val="00F628DB"/>
    <w:rsid w:val="00F64332"/>
    <w:rsid w:val="00F64482"/>
    <w:rsid w:val="00F64511"/>
    <w:rsid w:val="00F64A85"/>
    <w:rsid w:val="00F64F9C"/>
    <w:rsid w:val="00F65088"/>
    <w:rsid w:val="00F651D2"/>
    <w:rsid w:val="00F65549"/>
    <w:rsid w:val="00F660D7"/>
    <w:rsid w:val="00F662CB"/>
    <w:rsid w:val="00F66779"/>
    <w:rsid w:val="00F66CE4"/>
    <w:rsid w:val="00F67395"/>
    <w:rsid w:val="00F6748E"/>
    <w:rsid w:val="00F67D44"/>
    <w:rsid w:val="00F716A9"/>
    <w:rsid w:val="00F7229D"/>
    <w:rsid w:val="00F728FD"/>
    <w:rsid w:val="00F73736"/>
    <w:rsid w:val="00F73DDB"/>
    <w:rsid w:val="00F74ACB"/>
    <w:rsid w:val="00F74E8C"/>
    <w:rsid w:val="00F7687F"/>
    <w:rsid w:val="00F7693D"/>
    <w:rsid w:val="00F7697C"/>
    <w:rsid w:val="00F76A20"/>
    <w:rsid w:val="00F76B47"/>
    <w:rsid w:val="00F77D23"/>
    <w:rsid w:val="00F81566"/>
    <w:rsid w:val="00F81DE7"/>
    <w:rsid w:val="00F82E8E"/>
    <w:rsid w:val="00F82E95"/>
    <w:rsid w:val="00F8300D"/>
    <w:rsid w:val="00F83AED"/>
    <w:rsid w:val="00F849A8"/>
    <w:rsid w:val="00F85087"/>
    <w:rsid w:val="00F8584A"/>
    <w:rsid w:val="00F868FB"/>
    <w:rsid w:val="00F86A75"/>
    <w:rsid w:val="00F86CE0"/>
    <w:rsid w:val="00F873BE"/>
    <w:rsid w:val="00F87BB5"/>
    <w:rsid w:val="00F87D84"/>
    <w:rsid w:val="00F87D98"/>
    <w:rsid w:val="00F87E91"/>
    <w:rsid w:val="00F87F15"/>
    <w:rsid w:val="00F90830"/>
    <w:rsid w:val="00F92278"/>
    <w:rsid w:val="00F92BF2"/>
    <w:rsid w:val="00F9406E"/>
    <w:rsid w:val="00F94126"/>
    <w:rsid w:val="00F94E7E"/>
    <w:rsid w:val="00F95CFF"/>
    <w:rsid w:val="00F9681A"/>
    <w:rsid w:val="00F97D74"/>
    <w:rsid w:val="00F97EC4"/>
    <w:rsid w:val="00FA0205"/>
    <w:rsid w:val="00FA1035"/>
    <w:rsid w:val="00FA1075"/>
    <w:rsid w:val="00FA1087"/>
    <w:rsid w:val="00FA160E"/>
    <w:rsid w:val="00FA17BF"/>
    <w:rsid w:val="00FA1CEA"/>
    <w:rsid w:val="00FA1F3D"/>
    <w:rsid w:val="00FA2795"/>
    <w:rsid w:val="00FA3508"/>
    <w:rsid w:val="00FA3A47"/>
    <w:rsid w:val="00FA3FF7"/>
    <w:rsid w:val="00FA45CD"/>
    <w:rsid w:val="00FA4EB0"/>
    <w:rsid w:val="00FA5667"/>
    <w:rsid w:val="00FA594B"/>
    <w:rsid w:val="00FA6466"/>
    <w:rsid w:val="00FA7437"/>
    <w:rsid w:val="00FB1675"/>
    <w:rsid w:val="00FB2B3A"/>
    <w:rsid w:val="00FB2C0D"/>
    <w:rsid w:val="00FB325A"/>
    <w:rsid w:val="00FB519E"/>
    <w:rsid w:val="00FB5F27"/>
    <w:rsid w:val="00FB75A4"/>
    <w:rsid w:val="00FC0A47"/>
    <w:rsid w:val="00FC1B58"/>
    <w:rsid w:val="00FC243D"/>
    <w:rsid w:val="00FC2CCC"/>
    <w:rsid w:val="00FC388A"/>
    <w:rsid w:val="00FC392C"/>
    <w:rsid w:val="00FC7D47"/>
    <w:rsid w:val="00FD0516"/>
    <w:rsid w:val="00FD0D9D"/>
    <w:rsid w:val="00FD0F50"/>
    <w:rsid w:val="00FD1647"/>
    <w:rsid w:val="00FD1BCE"/>
    <w:rsid w:val="00FD21E9"/>
    <w:rsid w:val="00FD2D62"/>
    <w:rsid w:val="00FD2F23"/>
    <w:rsid w:val="00FD47C1"/>
    <w:rsid w:val="00FD51F4"/>
    <w:rsid w:val="00FD56F4"/>
    <w:rsid w:val="00FE0057"/>
    <w:rsid w:val="00FE190E"/>
    <w:rsid w:val="00FE1E7A"/>
    <w:rsid w:val="00FE23DC"/>
    <w:rsid w:val="00FE2F8C"/>
    <w:rsid w:val="00FE3090"/>
    <w:rsid w:val="00FE59AD"/>
    <w:rsid w:val="00FE6968"/>
    <w:rsid w:val="00FE69A7"/>
    <w:rsid w:val="00FE7999"/>
    <w:rsid w:val="00FE7A37"/>
    <w:rsid w:val="00FE7D07"/>
    <w:rsid w:val="00FF029B"/>
    <w:rsid w:val="00FF0854"/>
    <w:rsid w:val="00FF0CEF"/>
    <w:rsid w:val="00FF12E4"/>
    <w:rsid w:val="00FF1CF3"/>
    <w:rsid w:val="00FF1F4E"/>
    <w:rsid w:val="00FF2154"/>
    <w:rsid w:val="00FF36E0"/>
    <w:rsid w:val="00FF3C98"/>
    <w:rsid w:val="00FF435F"/>
    <w:rsid w:val="00FF4E13"/>
    <w:rsid w:val="00FF6375"/>
    <w:rsid w:val="00FF7583"/>
    <w:rsid w:val="00FF78A6"/>
    <w:rsid w:val="00FF7DDE"/>
    <w:rsid w:val="017BBECE"/>
    <w:rsid w:val="01E1B552"/>
    <w:rsid w:val="024B7B94"/>
    <w:rsid w:val="0259CCAB"/>
    <w:rsid w:val="02BD183E"/>
    <w:rsid w:val="0339BDB4"/>
    <w:rsid w:val="04676DED"/>
    <w:rsid w:val="065FE5AD"/>
    <w:rsid w:val="06C3FB19"/>
    <w:rsid w:val="07C03E66"/>
    <w:rsid w:val="08D6EEBF"/>
    <w:rsid w:val="090BE2D8"/>
    <w:rsid w:val="090FB93D"/>
    <w:rsid w:val="0964EAA6"/>
    <w:rsid w:val="0A6B5C83"/>
    <w:rsid w:val="0A70E3A3"/>
    <w:rsid w:val="0AAB67E4"/>
    <w:rsid w:val="0ABB19CE"/>
    <w:rsid w:val="0AE41573"/>
    <w:rsid w:val="0B6AA18B"/>
    <w:rsid w:val="0E503BCD"/>
    <w:rsid w:val="0E5D2B21"/>
    <w:rsid w:val="0EC17090"/>
    <w:rsid w:val="0EE0A23F"/>
    <w:rsid w:val="0FB61517"/>
    <w:rsid w:val="1006A9DB"/>
    <w:rsid w:val="10FEFF02"/>
    <w:rsid w:val="11B2D237"/>
    <w:rsid w:val="13BFAA57"/>
    <w:rsid w:val="13E54D3C"/>
    <w:rsid w:val="150D651A"/>
    <w:rsid w:val="15560D27"/>
    <w:rsid w:val="15E318BB"/>
    <w:rsid w:val="15F65C21"/>
    <w:rsid w:val="16539FD5"/>
    <w:rsid w:val="16B00E55"/>
    <w:rsid w:val="176BFA47"/>
    <w:rsid w:val="17837CA3"/>
    <w:rsid w:val="1791E7DA"/>
    <w:rsid w:val="17BF7C71"/>
    <w:rsid w:val="181D34B2"/>
    <w:rsid w:val="183F4F2F"/>
    <w:rsid w:val="18668C6E"/>
    <w:rsid w:val="1A01C2C9"/>
    <w:rsid w:val="1A54A254"/>
    <w:rsid w:val="1A6FCF70"/>
    <w:rsid w:val="1A99BD98"/>
    <w:rsid w:val="1AB1A70F"/>
    <w:rsid w:val="1B43E1AD"/>
    <w:rsid w:val="1C6F4517"/>
    <w:rsid w:val="1CBD21FD"/>
    <w:rsid w:val="1CE91DF1"/>
    <w:rsid w:val="1CFE4549"/>
    <w:rsid w:val="1F692262"/>
    <w:rsid w:val="1F7255F0"/>
    <w:rsid w:val="1FCD925D"/>
    <w:rsid w:val="22306392"/>
    <w:rsid w:val="22A7FFDA"/>
    <w:rsid w:val="22AC61A2"/>
    <w:rsid w:val="234986F2"/>
    <w:rsid w:val="248CE7F6"/>
    <w:rsid w:val="24B1C77B"/>
    <w:rsid w:val="254129AF"/>
    <w:rsid w:val="26623DDB"/>
    <w:rsid w:val="27AD658B"/>
    <w:rsid w:val="27E42702"/>
    <w:rsid w:val="28CDEB22"/>
    <w:rsid w:val="28EAADF2"/>
    <w:rsid w:val="2948B05C"/>
    <w:rsid w:val="295DE970"/>
    <w:rsid w:val="2A00A02E"/>
    <w:rsid w:val="2A4F8BE6"/>
    <w:rsid w:val="2ACC2025"/>
    <w:rsid w:val="2B152E83"/>
    <w:rsid w:val="2D8BC4E6"/>
    <w:rsid w:val="2EACFEF0"/>
    <w:rsid w:val="2EBDD17F"/>
    <w:rsid w:val="2EC21CBA"/>
    <w:rsid w:val="2FB6F404"/>
    <w:rsid w:val="30DB4583"/>
    <w:rsid w:val="31056086"/>
    <w:rsid w:val="310EA7EB"/>
    <w:rsid w:val="319CDCCA"/>
    <w:rsid w:val="35057FB6"/>
    <w:rsid w:val="351F6EE5"/>
    <w:rsid w:val="3623CF1A"/>
    <w:rsid w:val="36D7F6C0"/>
    <w:rsid w:val="377EBAE8"/>
    <w:rsid w:val="37CB76DB"/>
    <w:rsid w:val="37E1226F"/>
    <w:rsid w:val="37EAC694"/>
    <w:rsid w:val="38797357"/>
    <w:rsid w:val="3942D353"/>
    <w:rsid w:val="3967473C"/>
    <w:rsid w:val="397D3710"/>
    <w:rsid w:val="3A3E1894"/>
    <w:rsid w:val="3AC45426"/>
    <w:rsid w:val="3BFADBF8"/>
    <w:rsid w:val="3CC98F3D"/>
    <w:rsid w:val="3E8E8CF8"/>
    <w:rsid w:val="3F6131BA"/>
    <w:rsid w:val="40112CAE"/>
    <w:rsid w:val="40501FE3"/>
    <w:rsid w:val="40F922F6"/>
    <w:rsid w:val="40F99155"/>
    <w:rsid w:val="4127D582"/>
    <w:rsid w:val="4158CD56"/>
    <w:rsid w:val="416C0397"/>
    <w:rsid w:val="427FAA1F"/>
    <w:rsid w:val="42D73DA6"/>
    <w:rsid w:val="44E49DD1"/>
    <w:rsid w:val="44F4A1EE"/>
    <w:rsid w:val="4535EBD0"/>
    <w:rsid w:val="46126301"/>
    <w:rsid w:val="46EB3FEF"/>
    <w:rsid w:val="481C3E93"/>
    <w:rsid w:val="48709A84"/>
    <w:rsid w:val="49862770"/>
    <w:rsid w:val="4AF29812"/>
    <w:rsid w:val="4AFE33ED"/>
    <w:rsid w:val="4B00BAE5"/>
    <w:rsid w:val="4B6A1C29"/>
    <w:rsid w:val="4C0577AF"/>
    <w:rsid w:val="4D36454D"/>
    <w:rsid w:val="4D4D0D76"/>
    <w:rsid w:val="4D7E5712"/>
    <w:rsid w:val="4DCEEA6A"/>
    <w:rsid w:val="4DE3D750"/>
    <w:rsid w:val="4DE60164"/>
    <w:rsid w:val="4EAB8F0C"/>
    <w:rsid w:val="4EB971EE"/>
    <w:rsid w:val="4ED98243"/>
    <w:rsid w:val="4EFDDF1E"/>
    <w:rsid w:val="4FAF7D6E"/>
    <w:rsid w:val="4FF6BB35"/>
    <w:rsid w:val="5072FD38"/>
    <w:rsid w:val="5090E34F"/>
    <w:rsid w:val="510E049E"/>
    <w:rsid w:val="511BB4B2"/>
    <w:rsid w:val="5169F60E"/>
    <w:rsid w:val="51D0C716"/>
    <w:rsid w:val="52401196"/>
    <w:rsid w:val="5262F88F"/>
    <w:rsid w:val="536E9296"/>
    <w:rsid w:val="543E0306"/>
    <w:rsid w:val="55145DDB"/>
    <w:rsid w:val="55BFEAB0"/>
    <w:rsid w:val="56465186"/>
    <w:rsid w:val="57482D73"/>
    <w:rsid w:val="583D451F"/>
    <w:rsid w:val="5851BAAC"/>
    <w:rsid w:val="58BB7E28"/>
    <w:rsid w:val="58C36D2A"/>
    <w:rsid w:val="5A2FB5A6"/>
    <w:rsid w:val="5B29D19A"/>
    <w:rsid w:val="5D3380EE"/>
    <w:rsid w:val="5DC98959"/>
    <w:rsid w:val="5EF59D79"/>
    <w:rsid w:val="6023CA0A"/>
    <w:rsid w:val="6172CB60"/>
    <w:rsid w:val="625ECA45"/>
    <w:rsid w:val="63DCE916"/>
    <w:rsid w:val="6408001F"/>
    <w:rsid w:val="641ABE7C"/>
    <w:rsid w:val="64735438"/>
    <w:rsid w:val="64BA8157"/>
    <w:rsid w:val="6524CCE8"/>
    <w:rsid w:val="653EE84F"/>
    <w:rsid w:val="6583484C"/>
    <w:rsid w:val="66E25E46"/>
    <w:rsid w:val="676E27FF"/>
    <w:rsid w:val="67CD4C00"/>
    <w:rsid w:val="6988B731"/>
    <w:rsid w:val="6A228854"/>
    <w:rsid w:val="6ADCC0D6"/>
    <w:rsid w:val="6B3E3F22"/>
    <w:rsid w:val="6B43174D"/>
    <w:rsid w:val="6BD3087F"/>
    <w:rsid w:val="6C1D85CE"/>
    <w:rsid w:val="6C3B750D"/>
    <w:rsid w:val="6C42CDC2"/>
    <w:rsid w:val="6F294808"/>
    <w:rsid w:val="70E9DBE8"/>
    <w:rsid w:val="71023A88"/>
    <w:rsid w:val="72111F65"/>
    <w:rsid w:val="723A2AA7"/>
    <w:rsid w:val="73E085DF"/>
    <w:rsid w:val="764278A2"/>
    <w:rsid w:val="771B3190"/>
    <w:rsid w:val="77B701D0"/>
    <w:rsid w:val="77F9BD9D"/>
    <w:rsid w:val="7875E874"/>
    <w:rsid w:val="7AE50C58"/>
    <w:rsid w:val="7B32CFDE"/>
    <w:rsid w:val="7BCC4C23"/>
    <w:rsid w:val="7C262108"/>
    <w:rsid w:val="7D2E750B"/>
    <w:rsid w:val="7D32451A"/>
    <w:rsid w:val="7EA4AF67"/>
    <w:rsid w:val="7EDC7ED8"/>
    <w:rsid w:val="7FDA41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35E7D"/>
  <w15:chartTrackingRefBased/>
  <w15:docId w15:val="{2BE218B5-D73F-4DB5-A0DB-6FC3CC02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16"/>
    <w:pPr>
      <w:jc w:val="both"/>
    </w:pPr>
    <w:rPr>
      <w:rFonts w:ascii="Arial" w:hAnsi="Arial"/>
      <w:sz w:val="22"/>
    </w:rPr>
  </w:style>
  <w:style w:type="paragraph" w:styleId="Heading1">
    <w:name w:val="heading 1"/>
    <w:basedOn w:val="Normal"/>
    <w:next w:val="Normal"/>
    <w:link w:val="Heading1Char"/>
    <w:uiPriority w:val="9"/>
    <w:qFormat/>
    <w:rsid w:val="000B550F"/>
    <w:pPr>
      <w:keepNext/>
      <w:keepLines/>
      <w:pBdr>
        <w:bottom w:val="single" w:sz="12" w:space="1" w:color="FFCD00"/>
      </w:pBdr>
      <w:spacing w:before="240"/>
      <w:jc w:val="left"/>
      <w:outlineLvl w:val="0"/>
    </w:pPr>
    <w:rPr>
      <w:rFonts w:asciiTheme="majorHAnsi" w:eastAsiaTheme="majorEastAsia" w:hAnsiTheme="majorHAnsi" w:cstheme="majorBidi"/>
      <w:bCs/>
      <w:color w:val="003087"/>
      <w:sz w:val="40"/>
      <w:szCs w:val="40"/>
    </w:rPr>
  </w:style>
  <w:style w:type="paragraph" w:styleId="Heading2">
    <w:name w:val="heading 2"/>
    <w:basedOn w:val="Normal"/>
    <w:next w:val="Normal"/>
    <w:link w:val="Heading2Char"/>
    <w:uiPriority w:val="9"/>
    <w:unhideWhenUsed/>
    <w:qFormat/>
    <w:rsid w:val="000B550F"/>
    <w:pPr>
      <w:keepNext/>
      <w:keepLines/>
      <w:spacing w:before="40" w:after="120"/>
      <w:outlineLvl w:val="1"/>
    </w:pPr>
    <w:rPr>
      <w:rFonts w:asciiTheme="majorHAnsi" w:eastAsiaTheme="majorEastAsia" w:hAnsiTheme="majorHAnsi" w:cstheme="majorBidi"/>
      <w:bCs/>
      <w:color w:val="003087"/>
      <w:sz w:val="28"/>
      <w:szCs w:val="28"/>
    </w:rPr>
  </w:style>
  <w:style w:type="paragraph" w:styleId="Heading3">
    <w:name w:val="heading 3"/>
    <w:basedOn w:val="Normal"/>
    <w:next w:val="Normal"/>
    <w:link w:val="Heading3Char"/>
    <w:uiPriority w:val="9"/>
    <w:unhideWhenUsed/>
    <w:qFormat/>
    <w:rsid w:val="0058522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5F42"/>
    <w:pPr>
      <w:numPr>
        <w:numId w:val="68"/>
      </w:numPr>
      <w:spacing w:after="160" w:line="259" w:lineRule="auto"/>
      <w:contextualSpacing/>
    </w:pPr>
    <w:rPr>
      <w:szCs w:val="22"/>
    </w:rPr>
  </w:style>
  <w:style w:type="character" w:styleId="CommentReference">
    <w:name w:val="annotation reference"/>
    <w:basedOn w:val="DefaultParagraphFont"/>
    <w:uiPriority w:val="99"/>
    <w:semiHidden/>
    <w:unhideWhenUsed/>
    <w:rsid w:val="00855F42"/>
    <w:rPr>
      <w:sz w:val="16"/>
      <w:szCs w:val="16"/>
    </w:rPr>
  </w:style>
  <w:style w:type="paragraph" w:styleId="CommentText">
    <w:name w:val="annotation text"/>
    <w:basedOn w:val="Normal"/>
    <w:link w:val="CommentTextChar"/>
    <w:uiPriority w:val="99"/>
    <w:unhideWhenUsed/>
    <w:rsid w:val="00855F42"/>
    <w:pPr>
      <w:spacing w:after="160"/>
    </w:pPr>
    <w:rPr>
      <w:sz w:val="20"/>
      <w:szCs w:val="20"/>
    </w:rPr>
  </w:style>
  <w:style w:type="character" w:customStyle="1" w:styleId="CommentTextChar">
    <w:name w:val="Comment Text Char"/>
    <w:basedOn w:val="DefaultParagraphFont"/>
    <w:link w:val="CommentText"/>
    <w:uiPriority w:val="99"/>
    <w:rsid w:val="00855F42"/>
    <w:rPr>
      <w:sz w:val="20"/>
      <w:szCs w:val="20"/>
    </w:rPr>
  </w:style>
  <w:style w:type="paragraph" w:styleId="NormalWeb">
    <w:name w:val="Normal (Web)"/>
    <w:basedOn w:val="Normal"/>
    <w:uiPriority w:val="99"/>
    <w:semiHidden/>
    <w:unhideWhenUsed/>
    <w:rsid w:val="00C40E6F"/>
    <w:rPr>
      <w:rFonts w:ascii="Times New Roman" w:hAnsi="Times New Roman" w:cs="Times New Roman"/>
    </w:rPr>
  </w:style>
  <w:style w:type="character" w:styleId="Strong">
    <w:name w:val="Strong"/>
    <w:basedOn w:val="DefaultParagraphFont"/>
    <w:uiPriority w:val="22"/>
    <w:qFormat/>
    <w:rsid w:val="00C40E6F"/>
    <w:rPr>
      <w:b/>
      <w:bCs/>
    </w:rPr>
  </w:style>
  <w:style w:type="character" w:styleId="Hyperlink">
    <w:name w:val="Hyperlink"/>
    <w:basedOn w:val="DefaultParagraphFont"/>
    <w:uiPriority w:val="99"/>
    <w:unhideWhenUsed/>
    <w:rsid w:val="00C40E6F"/>
    <w:rPr>
      <w:color w:val="0000FF"/>
      <w:u w:val="single"/>
    </w:rPr>
  </w:style>
  <w:style w:type="paragraph" w:styleId="Header">
    <w:name w:val="header"/>
    <w:basedOn w:val="Normal"/>
    <w:link w:val="HeaderChar"/>
    <w:uiPriority w:val="99"/>
    <w:unhideWhenUsed/>
    <w:rsid w:val="00B86711"/>
    <w:pPr>
      <w:tabs>
        <w:tab w:val="center" w:pos="4513"/>
        <w:tab w:val="right" w:pos="9026"/>
      </w:tabs>
    </w:pPr>
  </w:style>
  <w:style w:type="character" w:customStyle="1" w:styleId="HeaderChar">
    <w:name w:val="Header Char"/>
    <w:basedOn w:val="DefaultParagraphFont"/>
    <w:link w:val="Header"/>
    <w:uiPriority w:val="99"/>
    <w:rsid w:val="00B86711"/>
  </w:style>
  <w:style w:type="paragraph" w:styleId="Footer">
    <w:name w:val="footer"/>
    <w:basedOn w:val="Normal"/>
    <w:link w:val="FooterChar"/>
    <w:uiPriority w:val="99"/>
    <w:unhideWhenUsed/>
    <w:rsid w:val="00B86711"/>
    <w:pPr>
      <w:tabs>
        <w:tab w:val="center" w:pos="4513"/>
        <w:tab w:val="right" w:pos="9026"/>
      </w:tabs>
    </w:pPr>
  </w:style>
  <w:style w:type="character" w:customStyle="1" w:styleId="FooterChar">
    <w:name w:val="Footer Char"/>
    <w:basedOn w:val="DefaultParagraphFont"/>
    <w:link w:val="Footer"/>
    <w:uiPriority w:val="99"/>
    <w:rsid w:val="00B86711"/>
  </w:style>
  <w:style w:type="table" w:styleId="TableGrid">
    <w:name w:val="Table Grid"/>
    <w:basedOn w:val="TableNormal"/>
    <w:uiPriority w:val="39"/>
    <w:rsid w:val="00AF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550F"/>
    <w:rPr>
      <w:rFonts w:asciiTheme="majorHAnsi" w:eastAsiaTheme="majorEastAsia" w:hAnsiTheme="majorHAnsi" w:cstheme="majorBidi"/>
      <w:bCs/>
      <w:color w:val="003087"/>
      <w:sz w:val="40"/>
      <w:szCs w:val="40"/>
    </w:rPr>
  </w:style>
  <w:style w:type="paragraph" w:styleId="TOCHeading">
    <w:name w:val="TOC Heading"/>
    <w:basedOn w:val="Heading1"/>
    <w:next w:val="Normal"/>
    <w:uiPriority w:val="39"/>
    <w:unhideWhenUsed/>
    <w:qFormat/>
    <w:rsid w:val="00EA769C"/>
    <w:pPr>
      <w:spacing w:line="259" w:lineRule="auto"/>
      <w:outlineLvl w:val="9"/>
    </w:pPr>
  </w:style>
  <w:style w:type="paragraph" w:styleId="TOC1">
    <w:name w:val="toc 1"/>
    <w:basedOn w:val="Normal"/>
    <w:next w:val="Normal"/>
    <w:autoRedefine/>
    <w:uiPriority w:val="39"/>
    <w:unhideWhenUsed/>
    <w:rsid w:val="00962402"/>
    <w:pPr>
      <w:tabs>
        <w:tab w:val="right" w:leader="dot" w:pos="9010"/>
      </w:tabs>
      <w:spacing w:after="100"/>
    </w:pPr>
  </w:style>
  <w:style w:type="table" w:customStyle="1" w:styleId="TableGrid1">
    <w:name w:val="Table Grid1"/>
    <w:basedOn w:val="TableNormal"/>
    <w:next w:val="TableGrid"/>
    <w:uiPriority w:val="39"/>
    <w:rsid w:val="00292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7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17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16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F4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34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2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C4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C3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3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F4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9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B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13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4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D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A4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60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E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E12F7"/>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2E12F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E12F7"/>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2E12F7"/>
    <w:rPr>
      <w:rFonts w:ascii="Tahoma" w:eastAsia="Times New Roman" w:hAnsi="Tahoma" w:cs="Tahoma"/>
      <w:sz w:val="16"/>
      <w:szCs w:val="16"/>
      <w:lang w:eastAsia="en-GB"/>
    </w:rPr>
  </w:style>
  <w:style w:type="character" w:customStyle="1" w:styleId="apple-converted-space">
    <w:name w:val="apple-converted-space"/>
    <w:basedOn w:val="DefaultParagraphFont"/>
    <w:rsid w:val="002E12F7"/>
  </w:style>
  <w:style w:type="table" w:customStyle="1" w:styleId="TableGrid21">
    <w:name w:val="Table Grid21"/>
    <w:basedOn w:val="TableNormal"/>
    <w:next w:val="TableGrid"/>
    <w:uiPriority w:val="39"/>
    <w:rsid w:val="00B2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BB5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713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4139"/>
  </w:style>
  <w:style w:type="character" w:styleId="UnresolvedMention">
    <w:name w:val="Unresolved Mention"/>
    <w:basedOn w:val="DefaultParagraphFont"/>
    <w:uiPriority w:val="99"/>
    <w:semiHidden/>
    <w:unhideWhenUsed/>
    <w:rsid w:val="007815E4"/>
    <w:rPr>
      <w:color w:val="605E5C"/>
      <w:shd w:val="clear" w:color="auto" w:fill="E1DFDD"/>
    </w:rPr>
  </w:style>
  <w:style w:type="paragraph" w:styleId="Title">
    <w:name w:val="Title"/>
    <w:basedOn w:val="Normal"/>
    <w:next w:val="Normal"/>
    <w:link w:val="TitleChar"/>
    <w:uiPriority w:val="10"/>
    <w:qFormat/>
    <w:rsid w:val="003801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1D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B550F"/>
    <w:rPr>
      <w:rFonts w:asciiTheme="majorHAnsi" w:eastAsiaTheme="majorEastAsia" w:hAnsiTheme="majorHAnsi" w:cstheme="majorBidi"/>
      <w:bCs/>
      <w:color w:val="003087"/>
      <w:sz w:val="28"/>
      <w:szCs w:val="28"/>
    </w:rPr>
  </w:style>
  <w:style w:type="character" w:styleId="FollowedHyperlink">
    <w:name w:val="FollowedHyperlink"/>
    <w:basedOn w:val="DefaultParagraphFont"/>
    <w:uiPriority w:val="99"/>
    <w:semiHidden/>
    <w:unhideWhenUsed/>
    <w:rsid w:val="00105DE5"/>
    <w:rPr>
      <w:color w:val="954F72" w:themeColor="followedHyperlink"/>
      <w:u w:val="single"/>
    </w:rPr>
  </w:style>
  <w:style w:type="character" w:customStyle="1" w:styleId="Heading3Char">
    <w:name w:val="Heading 3 Char"/>
    <w:basedOn w:val="DefaultParagraphFont"/>
    <w:link w:val="Heading3"/>
    <w:uiPriority w:val="9"/>
    <w:rsid w:val="00585222"/>
    <w:rPr>
      <w:rFonts w:asciiTheme="majorHAnsi" w:eastAsiaTheme="majorEastAsia" w:hAnsiTheme="majorHAnsi" w:cstheme="majorBidi"/>
      <w:color w:val="1F3763" w:themeColor="accent1" w:themeShade="7F"/>
    </w:rPr>
  </w:style>
  <w:style w:type="character" w:customStyle="1" w:styleId="cf01">
    <w:name w:val="cf01"/>
    <w:basedOn w:val="DefaultParagraphFont"/>
    <w:rsid w:val="00B10CB3"/>
    <w:rPr>
      <w:rFonts w:ascii="Segoe UI" w:hAnsi="Segoe UI" w:cs="Segoe UI" w:hint="default"/>
      <w:sz w:val="18"/>
      <w:szCs w:val="18"/>
    </w:rPr>
  </w:style>
  <w:style w:type="paragraph" w:styleId="TOC2">
    <w:name w:val="toc 2"/>
    <w:basedOn w:val="Normal"/>
    <w:next w:val="Normal"/>
    <w:autoRedefine/>
    <w:uiPriority w:val="39"/>
    <w:unhideWhenUsed/>
    <w:rsid w:val="00FA4EB0"/>
    <w:pPr>
      <w:spacing w:after="100"/>
      <w:ind w:left="220"/>
    </w:pPr>
  </w:style>
  <w:style w:type="paragraph" w:styleId="TOC3">
    <w:name w:val="toc 3"/>
    <w:basedOn w:val="Normal"/>
    <w:next w:val="Normal"/>
    <w:autoRedefine/>
    <w:uiPriority w:val="39"/>
    <w:unhideWhenUsed/>
    <w:rsid w:val="00FA4EB0"/>
    <w:pPr>
      <w:spacing w:after="100"/>
      <w:ind w:left="440"/>
    </w:pPr>
  </w:style>
  <w:style w:type="paragraph" w:customStyle="1" w:styleId="Feedback">
    <w:name w:val="Feedback"/>
    <w:basedOn w:val="Normal"/>
    <w:link w:val="FeedbackChar"/>
    <w:qFormat/>
    <w:rsid w:val="00C2666B"/>
    <w:pPr>
      <w:spacing w:after="120"/>
      <w:ind w:left="284" w:right="284"/>
    </w:pPr>
    <w:rPr>
      <w:rFonts w:cs="Arial"/>
      <w:i/>
      <w:iCs/>
      <w:sz w:val="20"/>
      <w:szCs w:val="22"/>
    </w:rPr>
  </w:style>
  <w:style w:type="paragraph" w:customStyle="1" w:styleId="Bullet">
    <w:name w:val="Bullet"/>
    <w:basedOn w:val="ListParagraph"/>
    <w:link w:val="BulletChar"/>
    <w:qFormat/>
    <w:rsid w:val="00CA35D9"/>
    <w:pPr>
      <w:numPr>
        <w:numId w:val="70"/>
      </w:numPr>
      <w:spacing w:line="240" w:lineRule="auto"/>
    </w:pPr>
    <w:rPr>
      <w:rFonts w:cs="Arial"/>
    </w:rPr>
  </w:style>
  <w:style w:type="character" w:customStyle="1" w:styleId="FeedbackChar">
    <w:name w:val="Feedback Char"/>
    <w:basedOn w:val="DefaultParagraphFont"/>
    <w:link w:val="Feedback"/>
    <w:rsid w:val="00C2666B"/>
    <w:rPr>
      <w:rFonts w:ascii="Arial" w:hAnsi="Arial" w:cs="Arial"/>
      <w:i/>
      <w:iCs/>
      <w:sz w:val="20"/>
      <w:szCs w:val="22"/>
    </w:rPr>
  </w:style>
  <w:style w:type="paragraph" w:customStyle="1" w:styleId="Number">
    <w:name w:val="Number"/>
    <w:basedOn w:val="ListParagraph"/>
    <w:link w:val="NumberChar"/>
    <w:qFormat/>
    <w:rsid w:val="00CA35D9"/>
    <w:pPr>
      <w:numPr>
        <w:numId w:val="71"/>
      </w:numPr>
    </w:pPr>
    <w:rPr>
      <w:rFonts w:cs="Arial"/>
    </w:rPr>
  </w:style>
  <w:style w:type="character" w:customStyle="1" w:styleId="ListParagraphChar">
    <w:name w:val="List Paragraph Char"/>
    <w:basedOn w:val="DefaultParagraphFont"/>
    <w:link w:val="ListParagraph"/>
    <w:uiPriority w:val="34"/>
    <w:rsid w:val="00CA35D9"/>
    <w:rPr>
      <w:rFonts w:ascii="Arial" w:hAnsi="Arial"/>
      <w:sz w:val="22"/>
      <w:szCs w:val="22"/>
    </w:rPr>
  </w:style>
  <w:style w:type="character" w:customStyle="1" w:styleId="BulletChar">
    <w:name w:val="Bullet Char"/>
    <w:basedOn w:val="ListParagraphChar"/>
    <w:link w:val="Bullet"/>
    <w:rsid w:val="00CA35D9"/>
    <w:rPr>
      <w:rFonts w:ascii="Arial" w:hAnsi="Arial" w:cs="Arial"/>
      <w:sz w:val="22"/>
      <w:szCs w:val="22"/>
    </w:rPr>
  </w:style>
  <w:style w:type="paragraph" w:customStyle="1" w:styleId="TableLetters">
    <w:name w:val="Table Letters"/>
    <w:basedOn w:val="Normal"/>
    <w:link w:val="TableLettersChar"/>
    <w:qFormat/>
    <w:rsid w:val="002C4447"/>
    <w:pPr>
      <w:numPr>
        <w:numId w:val="77"/>
      </w:numPr>
      <w:contextualSpacing/>
      <w:jc w:val="left"/>
    </w:pPr>
    <w:rPr>
      <w:rFonts w:cs="Arial"/>
      <w:color w:val="000000" w:themeColor="text1"/>
      <w:sz w:val="20"/>
      <w:szCs w:val="20"/>
    </w:rPr>
  </w:style>
  <w:style w:type="character" w:customStyle="1" w:styleId="NumberChar">
    <w:name w:val="Number Char"/>
    <w:basedOn w:val="ListParagraphChar"/>
    <w:link w:val="Number"/>
    <w:rsid w:val="00CA35D9"/>
    <w:rPr>
      <w:rFonts w:ascii="Arial" w:hAnsi="Arial" w:cs="Arial"/>
      <w:sz w:val="22"/>
      <w:szCs w:val="22"/>
    </w:rPr>
  </w:style>
  <w:style w:type="character" w:customStyle="1" w:styleId="TableLettersChar">
    <w:name w:val="Table Letters Char"/>
    <w:basedOn w:val="DefaultParagraphFont"/>
    <w:link w:val="TableLetters"/>
    <w:rsid w:val="002C4447"/>
    <w:rPr>
      <w:rFonts w:ascii="Arial" w:hAnsi="Arial" w:cs="Arial"/>
      <w:color w:val="000000" w:themeColor="text1"/>
      <w:sz w:val="20"/>
      <w:szCs w:val="20"/>
    </w:rPr>
  </w:style>
  <w:style w:type="character" w:styleId="Mention">
    <w:name w:val="Mention"/>
    <w:basedOn w:val="DefaultParagraphFont"/>
    <w:uiPriority w:val="99"/>
    <w:unhideWhenUsed/>
    <w:rsid w:val="003D38E4"/>
    <w:rPr>
      <w:color w:val="2B579A"/>
      <w:shd w:val="clear" w:color="auto" w:fill="E6E6E6"/>
    </w:rPr>
  </w:style>
  <w:style w:type="paragraph" w:customStyle="1" w:styleId="paragraph">
    <w:name w:val="paragraph"/>
    <w:basedOn w:val="Normal"/>
    <w:rsid w:val="00FF7583"/>
    <w:pPr>
      <w:spacing w:before="100" w:beforeAutospacing="1" w:after="100" w:afterAutospacing="1"/>
      <w:jc w:val="left"/>
    </w:pPr>
    <w:rPr>
      <w:rFonts w:ascii="Times New Roman" w:hAnsi="Times New Roman" w:cs="Times New Roman"/>
      <w:sz w:val="24"/>
      <w:lang w:eastAsia="en-GB"/>
    </w:rPr>
  </w:style>
  <w:style w:type="character" w:customStyle="1" w:styleId="normaltextrun">
    <w:name w:val="normaltextrun"/>
    <w:basedOn w:val="DefaultParagraphFont"/>
    <w:rsid w:val="00FF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8611">
      <w:bodyDiv w:val="1"/>
      <w:marLeft w:val="0"/>
      <w:marRight w:val="0"/>
      <w:marTop w:val="0"/>
      <w:marBottom w:val="0"/>
      <w:divBdr>
        <w:top w:val="none" w:sz="0" w:space="0" w:color="auto"/>
        <w:left w:val="none" w:sz="0" w:space="0" w:color="auto"/>
        <w:bottom w:val="none" w:sz="0" w:space="0" w:color="auto"/>
        <w:right w:val="none" w:sz="0" w:space="0" w:color="auto"/>
      </w:divBdr>
    </w:div>
    <w:div w:id="269245699">
      <w:bodyDiv w:val="1"/>
      <w:marLeft w:val="0"/>
      <w:marRight w:val="0"/>
      <w:marTop w:val="0"/>
      <w:marBottom w:val="0"/>
      <w:divBdr>
        <w:top w:val="none" w:sz="0" w:space="0" w:color="auto"/>
        <w:left w:val="none" w:sz="0" w:space="0" w:color="auto"/>
        <w:bottom w:val="none" w:sz="0" w:space="0" w:color="auto"/>
        <w:right w:val="none" w:sz="0" w:space="0" w:color="auto"/>
      </w:divBdr>
    </w:div>
    <w:div w:id="292759652">
      <w:bodyDiv w:val="1"/>
      <w:marLeft w:val="0"/>
      <w:marRight w:val="0"/>
      <w:marTop w:val="0"/>
      <w:marBottom w:val="0"/>
      <w:divBdr>
        <w:top w:val="none" w:sz="0" w:space="0" w:color="auto"/>
        <w:left w:val="none" w:sz="0" w:space="0" w:color="auto"/>
        <w:bottom w:val="none" w:sz="0" w:space="0" w:color="auto"/>
        <w:right w:val="none" w:sz="0" w:space="0" w:color="auto"/>
      </w:divBdr>
      <w:divsChild>
        <w:div w:id="908343285">
          <w:marLeft w:val="562"/>
          <w:marRight w:val="0"/>
          <w:marTop w:val="0"/>
          <w:marBottom w:val="120"/>
          <w:divBdr>
            <w:top w:val="none" w:sz="0" w:space="0" w:color="auto"/>
            <w:left w:val="none" w:sz="0" w:space="0" w:color="auto"/>
            <w:bottom w:val="none" w:sz="0" w:space="0" w:color="auto"/>
            <w:right w:val="none" w:sz="0" w:space="0" w:color="auto"/>
          </w:divBdr>
        </w:div>
        <w:div w:id="1225945843">
          <w:marLeft w:val="562"/>
          <w:marRight w:val="0"/>
          <w:marTop w:val="0"/>
          <w:marBottom w:val="120"/>
          <w:divBdr>
            <w:top w:val="none" w:sz="0" w:space="0" w:color="auto"/>
            <w:left w:val="none" w:sz="0" w:space="0" w:color="auto"/>
            <w:bottom w:val="none" w:sz="0" w:space="0" w:color="auto"/>
            <w:right w:val="none" w:sz="0" w:space="0" w:color="auto"/>
          </w:divBdr>
        </w:div>
        <w:div w:id="1248732910">
          <w:marLeft w:val="562"/>
          <w:marRight w:val="0"/>
          <w:marTop w:val="0"/>
          <w:marBottom w:val="120"/>
          <w:divBdr>
            <w:top w:val="none" w:sz="0" w:space="0" w:color="auto"/>
            <w:left w:val="none" w:sz="0" w:space="0" w:color="auto"/>
            <w:bottom w:val="none" w:sz="0" w:space="0" w:color="auto"/>
            <w:right w:val="none" w:sz="0" w:space="0" w:color="auto"/>
          </w:divBdr>
        </w:div>
        <w:div w:id="1338734514">
          <w:marLeft w:val="562"/>
          <w:marRight w:val="0"/>
          <w:marTop w:val="0"/>
          <w:marBottom w:val="120"/>
          <w:divBdr>
            <w:top w:val="none" w:sz="0" w:space="0" w:color="auto"/>
            <w:left w:val="none" w:sz="0" w:space="0" w:color="auto"/>
            <w:bottom w:val="none" w:sz="0" w:space="0" w:color="auto"/>
            <w:right w:val="none" w:sz="0" w:space="0" w:color="auto"/>
          </w:divBdr>
        </w:div>
        <w:div w:id="1495414369">
          <w:marLeft w:val="562"/>
          <w:marRight w:val="0"/>
          <w:marTop w:val="0"/>
          <w:marBottom w:val="120"/>
          <w:divBdr>
            <w:top w:val="none" w:sz="0" w:space="0" w:color="auto"/>
            <w:left w:val="none" w:sz="0" w:space="0" w:color="auto"/>
            <w:bottom w:val="none" w:sz="0" w:space="0" w:color="auto"/>
            <w:right w:val="none" w:sz="0" w:space="0" w:color="auto"/>
          </w:divBdr>
        </w:div>
        <w:div w:id="1835795980">
          <w:marLeft w:val="562"/>
          <w:marRight w:val="0"/>
          <w:marTop w:val="0"/>
          <w:marBottom w:val="120"/>
          <w:divBdr>
            <w:top w:val="none" w:sz="0" w:space="0" w:color="auto"/>
            <w:left w:val="none" w:sz="0" w:space="0" w:color="auto"/>
            <w:bottom w:val="none" w:sz="0" w:space="0" w:color="auto"/>
            <w:right w:val="none" w:sz="0" w:space="0" w:color="auto"/>
          </w:divBdr>
        </w:div>
      </w:divsChild>
    </w:div>
    <w:div w:id="309796117">
      <w:bodyDiv w:val="1"/>
      <w:marLeft w:val="0"/>
      <w:marRight w:val="0"/>
      <w:marTop w:val="0"/>
      <w:marBottom w:val="0"/>
      <w:divBdr>
        <w:top w:val="none" w:sz="0" w:space="0" w:color="auto"/>
        <w:left w:val="none" w:sz="0" w:space="0" w:color="auto"/>
        <w:bottom w:val="none" w:sz="0" w:space="0" w:color="auto"/>
        <w:right w:val="none" w:sz="0" w:space="0" w:color="auto"/>
      </w:divBdr>
    </w:div>
    <w:div w:id="700327739">
      <w:bodyDiv w:val="1"/>
      <w:marLeft w:val="0"/>
      <w:marRight w:val="0"/>
      <w:marTop w:val="0"/>
      <w:marBottom w:val="0"/>
      <w:divBdr>
        <w:top w:val="none" w:sz="0" w:space="0" w:color="auto"/>
        <w:left w:val="none" w:sz="0" w:space="0" w:color="auto"/>
        <w:bottom w:val="none" w:sz="0" w:space="0" w:color="auto"/>
        <w:right w:val="none" w:sz="0" w:space="0" w:color="auto"/>
      </w:divBdr>
    </w:div>
    <w:div w:id="751586891">
      <w:bodyDiv w:val="1"/>
      <w:marLeft w:val="0"/>
      <w:marRight w:val="0"/>
      <w:marTop w:val="0"/>
      <w:marBottom w:val="0"/>
      <w:divBdr>
        <w:top w:val="none" w:sz="0" w:space="0" w:color="auto"/>
        <w:left w:val="none" w:sz="0" w:space="0" w:color="auto"/>
        <w:bottom w:val="none" w:sz="0" w:space="0" w:color="auto"/>
        <w:right w:val="none" w:sz="0" w:space="0" w:color="auto"/>
      </w:divBdr>
    </w:div>
    <w:div w:id="1003163903">
      <w:bodyDiv w:val="1"/>
      <w:marLeft w:val="0"/>
      <w:marRight w:val="0"/>
      <w:marTop w:val="0"/>
      <w:marBottom w:val="0"/>
      <w:divBdr>
        <w:top w:val="none" w:sz="0" w:space="0" w:color="auto"/>
        <w:left w:val="none" w:sz="0" w:space="0" w:color="auto"/>
        <w:bottom w:val="none" w:sz="0" w:space="0" w:color="auto"/>
        <w:right w:val="none" w:sz="0" w:space="0" w:color="auto"/>
      </w:divBdr>
    </w:div>
    <w:div w:id="1110932605">
      <w:bodyDiv w:val="1"/>
      <w:marLeft w:val="0"/>
      <w:marRight w:val="0"/>
      <w:marTop w:val="0"/>
      <w:marBottom w:val="0"/>
      <w:divBdr>
        <w:top w:val="none" w:sz="0" w:space="0" w:color="auto"/>
        <w:left w:val="none" w:sz="0" w:space="0" w:color="auto"/>
        <w:bottom w:val="none" w:sz="0" w:space="0" w:color="auto"/>
        <w:right w:val="none" w:sz="0" w:space="0" w:color="auto"/>
      </w:divBdr>
    </w:div>
    <w:div w:id="1146430108">
      <w:bodyDiv w:val="1"/>
      <w:marLeft w:val="0"/>
      <w:marRight w:val="0"/>
      <w:marTop w:val="0"/>
      <w:marBottom w:val="0"/>
      <w:divBdr>
        <w:top w:val="none" w:sz="0" w:space="0" w:color="auto"/>
        <w:left w:val="none" w:sz="0" w:space="0" w:color="auto"/>
        <w:bottom w:val="none" w:sz="0" w:space="0" w:color="auto"/>
        <w:right w:val="none" w:sz="0" w:space="0" w:color="auto"/>
      </w:divBdr>
      <w:divsChild>
        <w:div w:id="627932449">
          <w:marLeft w:val="562"/>
          <w:marRight w:val="0"/>
          <w:marTop w:val="0"/>
          <w:marBottom w:val="120"/>
          <w:divBdr>
            <w:top w:val="none" w:sz="0" w:space="0" w:color="auto"/>
            <w:left w:val="none" w:sz="0" w:space="0" w:color="auto"/>
            <w:bottom w:val="none" w:sz="0" w:space="0" w:color="auto"/>
            <w:right w:val="none" w:sz="0" w:space="0" w:color="auto"/>
          </w:divBdr>
        </w:div>
        <w:div w:id="779841601">
          <w:marLeft w:val="562"/>
          <w:marRight w:val="0"/>
          <w:marTop w:val="0"/>
          <w:marBottom w:val="120"/>
          <w:divBdr>
            <w:top w:val="none" w:sz="0" w:space="0" w:color="auto"/>
            <w:left w:val="none" w:sz="0" w:space="0" w:color="auto"/>
            <w:bottom w:val="none" w:sz="0" w:space="0" w:color="auto"/>
            <w:right w:val="none" w:sz="0" w:space="0" w:color="auto"/>
          </w:divBdr>
        </w:div>
        <w:div w:id="1171218750">
          <w:marLeft w:val="562"/>
          <w:marRight w:val="0"/>
          <w:marTop w:val="0"/>
          <w:marBottom w:val="120"/>
          <w:divBdr>
            <w:top w:val="none" w:sz="0" w:space="0" w:color="auto"/>
            <w:left w:val="none" w:sz="0" w:space="0" w:color="auto"/>
            <w:bottom w:val="none" w:sz="0" w:space="0" w:color="auto"/>
            <w:right w:val="none" w:sz="0" w:space="0" w:color="auto"/>
          </w:divBdr>
        </w:div>
        <w:div w:id="1444836035">
          <w:marLeft w:val="562"/>
          <w:marRight w:val="0"/>
          <w:marTop w:val="0"/>
          <w:marBottom w:val="120"/>
          <w:divBdr>
            <w:top w:val="none" w:sz="0" w:space="0" w:color="auto"/>
            <w:left w:val="none" w:sz="0" w:space="0" w:color="auto"/>
            <w:bottom w:val="none" w:sz="0" w:space="0" w:color="auto"/>
            <w:right w:val="none" w:sz="0" w:space="0" w:color="auto"/>
          </w:divBdr>
        </w:div>
      </w:divsChild>
    </w:div>
    <w:div w:id="1246888105">
      <w:bodyDiv w:val="1"/>
      <w:marLeft w:val="0"/>
      <w:marRight w:val="0"/>
      <w:marTop w:val="0"/>
      <w:marBottom w:val="0"/>
      <w:divBdr>
        <w:top w:val="none" w:sz="0" w:space="0" w:color="auto"/>
        <w:left w:val="none" w:sz="0" w:space="0" w:color="auto"/>
        <w:bottom w:val="none" w:sz="0" w:space="0" w:color="auto"/>
        <w:right w:val="none" w:sz="0" w:space="0" w:color="auto"/>
      </w:divBdr>
    </w:div>
    <w:div w:id="1349256324">
      <w:bodyDiv w:val="1"/>
      <w:marLeft w:val="0"/>
      <w:marRight w:val="0"/>
      <w:marTop w:val="0"/>
      <w:marBottom w:val="0"/>
      <w:divBdr>
        <w:top w:val="none" w:sz="0" w:space="0" w:color="auto"/>
        <w:left w:val="none" w:sz="0" w:space="0" w:color="auto"/>
        <w:bottom w:val="none" w:sz="0" w:space="0" w:color="auto"/>
        <w:right w:val="none" w:sz="0" w:space="0" w:color="auto"/>
      </w:divBdr>
    </w:div>
    <w:div w:id="1379237205">
      <w:bodyDiv w:val="1"/>
      <w:marLeft w:val="0"/>
      <w:marRight w:val="0"/>
      <w:marTop w:val="0"/>
      <w:marBottom w:val="0"/>
      <w:divBdr>
        <w:top w:val="none" w:sz="0" w:space="0" w:color="auto"/>
        <w:left w:val="none" w:sz="0" w:space="0" w:color="auto"/>
        <w:bottom w:val="none" w:sz="0" w:space="0" w:color="auto"/>
        <w:right w:val="none" w:sz="0" w:space="0" w:color="auto"/>
      </w:divBdr>
    </w:div>
    <w:div w:id="1670257546">
      <w:bodyDiv w:val="1"/>
      <w:marLeft w:val="0"/>
      <w:marRight w:val="0"/>
      <w:marTop w:val="0"/>
      <w:marBottom w:val="0"/>
      <w:divBdr>
        <w:top w:val="none" w:sz="0" w:space="0" w:color="auto"/>
        <w:left w:val="none" w:sz="0" w:space="0" w:color="auto"/>
        <w:bottom w:val="none" w:sz="0" w:space="0" w:color="auto"/>
        <w:right w:val="none" w:sz="0" w:space="0" w:color="auto"/>
      </w:divBdr>
    </w:div>
    <w:div w:id="21167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matrixstandard.com/media/1235/edt-first-pilot-case-study.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atrixstandard.com/media/1272/matrix-lit-review-fina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trixstandard.com/understanding-the-matrix-standard-review/"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matrixstandard.com/media/1292/matrixstandard_casestudy_brook_june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matrixStandard@growthco.uk" TargetMode="Externa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0171C538A11F43A0AB375C5D234402" ma:contentTypeVersion="17" ma:contentTypeDescription="Create a new document." ma:contentTypeScope="" ma:versionID="ad3abc2e12b377d5b9080fbd6ba50773">
  <xsd:schema xmlns:xsd="http://www.w3.org/2001/XMLSchema" xmlns:xs="http://www.w3.org/2001/XMLSchema" xmlns:p="http://schemas.microsoft.com/office/2006/metadata/properties" xmlns:ns2="d648bc01-36cd-414b-a80e-0249a7b8178c" xmlns:ns3="dd9d9367-f2b9-4bbb-8ef2-49d7bf367d48" targetNamespace="http://schemas.microsoft.com/office/2006/metadata/properties" ma:root="true" ma:fieldsID="836c656c11ac2daf4bb29d3101cdc853" ns2:_="" ns3:_="">
    <xsd:import namespace="d648bc01-36cd-414b-a80e-0249a7b8178c"/>
    <xsd:import namespace="dd9d9367-f2b9-4bbb-8ef2-49d7bf367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8bc01-36cd-414b-a80e-0249a7b81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722410-03a9-4718-9392-c4089ca5a50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d9367-f2b9-4bbb-8ef2-49d7bf367d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d5e834-3397-407f-a8a5-f64124fd0f2f}" ma:internalName="TaxCatchAll" ma:showField="CatchAllData" ma:web="dd9d9367-f2b9-4bbb-8ef2-49d7bf367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48bc01-36cd-414b-a80e-0249a7b8178c">
      <Terms xmlns="http://schemas.microsoft.com/office/infopath/2007/PartnerControls"/>
    </lcf76f155ced4ddcb4097134ff3c332f>
    <TaxCatchAll xmlns="dd9d9367-f2b9-4bbb-8ef2-49d7bf367d4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C5E62-4C87-4E65-834D-3EFF8BCD0F92}">
  <ds:schemaRefs>
    <ds:schemaRef ds:uri="http://schemas.microsoft.com/sharepoint/v3/contenttype/forms"/>
  </ds:schemaRefs>
</ds:datastoreItem>
</file>

<file path=customXml/itemProps2.xml><?xml version="1.0" encoding="utf-8"?>
<ds:datastoreItem xmlns:ds="http://schemas.openxmlformats.org/officeDocument/2006/customXml" ds:itemID="{4217F43B-8E47-4FE4-8DF3-13C735FF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8bc01-36cd-414b-a80e-0249a7b8178c"/>
    <ds:schemaRef ds:uri="dd9d9367-f2b9-4bbb-8ef2-49d7bf367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93834-70A5-4ACF-A1AA-4B84A495AD27}">
  <ds:schemaRefs>
    <ds:schemaRef ds:uri="http://schemas.microsoft.com/office/2006/metadata/properties"/>
    <ds:schemaRef ds:uri="http://schemas.microsoft.com/office/infopath/2007/PartnerControls"/>
    <ds:schemaRef ds:uri="d648bc01-36cd-414b-a80e-0249a7b8178c"/>
    <ds:schemaRef ds:uri="dd9d9367-f2b9-4bbb-8ef2-49d7bf367d48"/>
  </ds:schemaRefs>
</ds:datastoreItem>
</file>

<file path=customXml/itemProps4.xml><?xml version="1.0" encoding="utf-8"?>
<ds:datastoreItem xmlns:ds="http://schemas.openxmlformats.org/officeDocument/2006/customXml" ds:itemID="{4129B063-F62F-4DA3-B741-6BA8D621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11893</Words>
  <Characters>58873</Characters>
  <Application>Microsoft Office Word</Application>
  <DocSecurity>4</DocSecurity>
  <Lines>3098</Lines>
  <Paragraphs>2144</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Foreword</vt:lpstr>
      <vt:lpstr>Executive Summary</vt:lpstr>
      <vt:lpstr>    Benefits of the revised Standard </vt:lpstr>
      <vt:lpstr>Background</vt:lpstr>
      <vt:lpstr>Aim</vt:lpstr>
      <vt:lpstr>Objectives</vt:lpstr>
      <vt:lpstr>Methodology</vt:lpstr>
      <vt:lpstr>Governance</vt:lpstr>
      <vt:lpstr>    Executive Group</vt:lpstr>
      <vt:lpstr>    Advisory Group</vt:lpstr>
      <vt:lpstr>SWOT Analysis</vt:lpstr>
      <vt:lpstr>Key Stakeholder Engagement</vt:lpstr>
      <vt:lpstr>Literature Review</vt:lpstr>
      <vt:lpstr>Customer and Practitioner Surveys</vt:lpstr>
      <vt:lpstr>Development of Alpha and Beta Versions</vt:lpstr>
      <vt:lpstr>    Changes in the Alpha Version</vt:lpstr>
      <vt:lpstr>    Piloting Beta Version</vt:lpstr>
      <vt:lpstr>Benefits</vt:lpstr>
      <vt:lpstr>    Benefits for Organisations</vt:lpstr>
      <vt:lpstr>    Benefits for Recipients</vt:lpstr>
      <vt:lpstr>    Wider Benefits of the Revised Standard</vt:lpstr>
      <vt:lpstr>Marketing</vt:lpstr>
      <vt:lpstr>Assessment Process Changes</vt:lpstr>
      <vt:lpstr>    Improvements to the annual Continuous Improvement Checks </vt:lpstr>
      <vt:lpstr>    Enhancing the sampling for National Careers Service provision</vt:lpstr>
      <vt:lpstr>    New guidance for assessing large multi-campus FE provision</vt:lpstr>
      <vt:lpstr>    Embedding the benefits of digital assessments in the process.</vt:lpstr>
      <vt:lpstr>Guidance Materials</vt:lpstr>
      <vt:lpstr>    Sector Guidance</vt:lpstr>
      <vt:lpstr/>
      <vt:lpstr>Appendix 1 – Advisory Group Membership</vt:lpstr>
      <vt:lpstr>        matrix Accredited Service Providers</vt:lpstr>
      <vt:lpstr>        Other Service Providers</vt:lpstr>
      <vt:lpstr>        Strategic Stakeholders</vt:lpstr>
      <vt:lpstr>        Practitioners/ Consultants</vt:lpstr>
      <vt:lpstr>Appendix 2 – Pilot Organisations</vt:lpstr>
      <vt:lpstr>        Full Pilots</vt:lpstr>
      <vt:lpstr>        Continuous Improvement Check Pilots</vt:lpstr>
      <vt:lpstr/>
    </vt:vector>
  </TitlesOfParts>
  <Company/>
  <LinksUpToDate>false</LinksUpToDate>
  <CharactersWithSpaces>68622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Leahy</dc:creator>
  <cp:keywords/>
  <dc:description/>
  <cp:lastModifiedBy>Houston, Kiera (Growth Company)</cp:lastModifiedBy>
  <cp:revision>2</cp:revision>
  <cp:lastPrinted>2022-11-29T12:54:00Z</cp:lastPrinted>
  <dcterms:created xsi:type="dcterms:W3CDTF">2023-04-04T07:51:00Z</dcterms:created>
  <dcterms:modified xsi:type="dcterms:W3CDTF">2023-04-04T07:51:00Z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0x0101009E0171C538A11F43A0AB375C5D234402</vt:lpwstr>
  </property>
  <property fmtid="{D5CDD505-2E9C-101B-9397-08002B2CF9AE}" pid="3" name="MediaServiceImageTags">
    <vt:lpwstr/>
  </property>
  <property fmtid="{D5CDD505-2E9C-101B-9397-08002B2CF9AE}" pid="4" name="MSIP_Label_700927df-381f-4b47-9442-9474f463c8ff_Enabled">
    <vt:lpwstr>False</vt:lpwstr>
  </property>
  <property fmtid="{D5CDD505-2E9C-101B-9397-08002B2CF9AE}" pid="5" name="MSIP_Label_700927df-381f-4b47-9442-9474f463c8ff_SiteId">
    <vt:lpwstr>08103169-4a6e-4778-9735-09cc96096d8f</vt:lpwstr>
  </property>
  <property fmtid="{D5CDD505-2E9C-101B-9397-08002B2CF9AE}" pid="6" name="MSIP_Label_700927df-381f-4b47-9442-9474f463c8ff_Owner">
    <vt:lpwstr>roger.chapman@growthco.uk</vt:lpwstr>
  </property>
  <property fmtid="{D5CDD505-2E9C-101B-9397-08002B2CF9AE}" pid="7" name="MSIP_Label_700927df-381f-4b47-9442-9474f463c8ff_SetDate">
    <vt:lpwstr>2022-10-11T11:50:49.2399153Z</vt:lpwstr>
  </property>
  <property fmtid="{D5CDD505-2E9C-101B-9397-08002B2CF9AE}" pid="8" name="MSIP_Label_700927df-381f-4b47-9442-9474f463c8ff_Name">
    <vt:lpwstr>Internal Personal and Confidential</vt:lpwstr>
  </property>
  <property fmtid="{D5CDD505-2E9C-101B-9397-08002B2CF9AE}" pid="9" name="MSIP_Label_700927df-381f-4b47-9442-9474f463c8ff_Application">
    <vt:lpwstr>Microsoft Azure Information Protection</vt:lpwstr>
  </property>
  <property fmtid="{D5CDD505-2E9C-101B-9397-08002B2CF9AE}" pid="10" name="MSIP_Label_700927df-381f-4b47-9442-9474f463c8ff_ActionId">
    <vt:lpwstr>0318c1cb-94b9-40b9-81ea-ec741f33b8cd</vt:lpwstr>
  </property>
  <property fmtid="{D5CDD505-2E9C-101B-9397-08002B2CF9AE}" pid="11" name="MSIP_Label_700927df-381f-4b47-9442-9474f463c8ff_Extended_MSFT_Method">
    <vt:lpwstr>Automatic</vt:lpwstr>
  </property>
</Properties>
</file>